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2567" w:rsidRPr="00C8685F" w:rsidRDefault="00C12567" w:rsidP="00C12567">
      <w:pPr>
        <w:rPr>
          <w:sz w:val="24"/>
          <w:szCs w:val="24"/>
          <w:u w:val="single"/>
        </w:rPr>
      </w:pPr>
      <w:r w:rsidRPr="00C8685F">
        <w:rPr>
          <w:b/>
          <w:sz w:val="24"/>
          <w:szCs w:val="24"/>
          <w:u w:val="single"/>
        </w:rPr>
        <w:t>Aims of Feedback at THOA:</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plan</w:t>
      </w:r>
      <w:r w:rsidRPr="00C8685F">
        <w:rPr>
          <w:sz w:val="24"/>
          <w:szCs w:val="24"/>
        </w:rPr>
        <w:t xml:space="preserve"> opportunities for focused and meaningful  feedback; </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 xml:space="preserve">use </w:t>
      </w:r>
      <w:r w:rsidRPr="00C8685F">
        <w:rPr>
          <w:sz w:val="24"/>
          <w:szCs w:val="24"/>
        </w:rPr>
        <w:t>two stars and a wish</w:t>
      </w:r>
      <w:r w:rsidRPr="00C8685F">
        <w:rPr>
          <w:b/>
          <w:sz w:val="24"/>
          <w:szCs w:val="24"/>
        </w:rPr>
        <w:t xml:space="preserve"> </w:t>
      </w:r>
      <w:r w:rsidRPr="00C8685F">
        <w:rPr>
          <w:sz w:val="24"/>
          <w:szCs w:val="24"/>
        </w:rPr>
        <w:t>to engage pupils in a learning dialogue and provide actionable feedback;</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ensure</w:t>
      </w:r>
      <w:r w:rsidRPr="00C8685F">
        <w:rPr>
          <w:sz w:val="24"/>
          <w:szCs w:val="24"/>
        </w:rPr>
        <w:t xml:space="preserve"> learning is secure through effective written and verbal feedback;</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assess</w:t>
      </w:r>
      <w:r w:rsidRPr="00C8685F">
        <w:rPr>
          <w:sz w:val="24"/>
          <w:szCs w:val="24"/>
        </w:rPr>
        <w:t xml:space="preserve"> progress made by pupils and identify next steps for learning; </w:t>
      </w:r>
    </w:p>
    <w:p w:rsidR="00C12567" w:rsidRPr="00C8685F" w:rsidRDefault="00C12567" w:rsidP="00C12567">
      <w:pPr>
        <w:pStyle w:val="NoSpacing"/>
        <w:numPr>
          <w:ilvl w:val="0"/>
          <w:numId w:val="1"/>
        </w:numPr>
        <w:ind w:left="567" w:hanging="567"/>
        <w:jc w:val="both"/>
        <w:rPr>
          <w:sz w:val="24"/>
          <w:szCs w:val="24"/>
        </w:rPr>
      </w:pPr>
      <w:r w:rsidRPr="00C8685F">
        <w:rPr>
          <w:b/>
          <w:sz w:val="24"/>
          <w:szCs w:val="24"/>
        </w:rPr>
        <w:t>personalise</w:t>
      </w:r>
      <w:r w:rsidRPr="00C8685F">
        <w:rPr>
          <w:sz w:val="24"/>
          <w:szCs w:val="24"/>
        </w:rPr>
        <w:t xml:space="preserve"> feedback to the needs of the individual;</w:t>
      </w:r>
    </w:p>
    <w:p w:rsidR="00C12567" w:rsidRDefault="00C12567" w:rsidP="00C12567">
      <w:pPr>
        <w:pStyle w:val="NoSpacing"/>
        <w:numPr>
          <w:ilvl w:val="0"/>
          <w:numId w:val="1"/>
        </w:numPr>
        <w:ind w:left="567" w:hanging="567"/>
        <w:jc w:val="both"/>
        <w:rPr>
          <w:sz w:val="24"/>
          <w:szCs w:val="24"/>
        </w:rPr>
      </w:pPr>
      <w:proofErr w:type="gramStart"/>
      <w:r w:rsidRPr="00C8685F">
        <w:rPr>
          <w:b/>
          <w:sz w:val="24"/>
          <w:szCs w:val="24"/>
        </w:rPr>
        <w:t>create</w:t>
      </w:r>
      <w:proofErr w:type="gramEnd"/>
      <w:r w:rsidRPr="00C8685F">
        <w:rPr>
          <w:sz w:val="24"/>
          <w:szCs w:val="24"/>
        </w:rPr>
        <w:t xml:space="preserve"> a positive learning environment, using feedback to motivate learners to be the best they can be.</w:t>
      </w:r>
    </w:p>
    <w:p w:rsidR="00054FDF" w:rsidRPr="00054FDF" w:rsidRDefault="00054FDF" w:rsidP="00054FDF">
      <w:pPr>
        <w:pStyle w:val="NoSpacing"/>
        <w:ind w:left="567"/>
        <w:jc w:val="both"/>
        <w:rPr>
          <w:sz w:val="24"/>
          <w:szCs w:val="24"/>
        </w:rPr>
      </w:pPr>
    </w:p>
    <w:p w:rsidR="00C12567" w:rsidRPr="00C8685F" w:rsidRDefault="00C12567" w:rsidP="00C12567">
      <w:pPr>
        <w:jc w:val="both"/>
        <w:rPr>
          <w:b/>
          <w:sz w:val="24"/>
          <w:szCs w:val="24"/>
          <w:u w:val="single"/>
        </w:rPr>
      </w:pPr>
      <w:r w:rsidRPr="00C8685F">
        <w:rPr>
          <w:b/>
          <w:sz w:val="24"/>
          <w:szCs w:val="24"/>
          <w:u w:val="single"/>
        </w:rPr>
        <w:t>Effective feedback in Faculties will:</w:t>
      </w:r>
    </w:p>
    <w:p w:rsidR="00C12567" w:rsidRPr="000830F2" w:rsidRDefault="00C12567" w:rsidP="00C12567">
      <w:pPr>
        <w:numPr>
          <w:ilvl w:val="0"/>
          <w:numId w:val="2"/>
        </w:numPr>
        <w:spacing w:after="0" w:line="240" w:lineRule="auto"/>
        <w:ind w:left="540" w:hanging="540"/>
        <w:jc w:val="both"/>
        <w:rPr>
          <w:rFonts w:eastAsia="Times New Roman" w:cs="Tahoma"/>
          <w:sz w:val="24"/>
          <w:szCs w:val="24"/>
        </w:rPr>
      </w:pPr>
      <w:r w:rsidRPr="000830F2">
        <w:rPr>
          <w:rFonts w:eastAsia="Times New Roman" w:cs="Tahoma"/>
          <w:sz w:val="24"/>
          <w:szCs w:val="24"/>
        </w:rPr>
        <w:t>ensure that pupils receive selective feedback at regular intervals as specified by subjects/faculties in their Feedback Policy and agreed by Line Managers;</w:t>
      </w:r>
    </w:p>
    <w:p w:rsidR="00C12567" w:rsidRPr="00C8685F" w:rsidRDefault="00C12567" w:rsidP="00C12567">
      <w:pPr>
        <w:numPr>
          <w:ilvl w:val="0"/>
          <w:numId w:val="2"/>
        </w:numPr>
        <w:spacing w:after="0" w:line="240" w:lineRule="auto"/>
        <w:ind w:left="540" w:hanging="540"/>
        <w:jc w:val="both"/>
        <w:rPr>
          <w:rFonts w:eastAsia="Times New Roman" w:cs="Tw Cen MT"/>
          <w:sz w:val="24"/>
          <w:szCs w:val="24"/>
        </w:rPr>
      </w:pPr>
      <w:r w:rsidRPr="00C8685F">
        <w:rPr>
          <w:rFonts w:eastAsia="Times New Roman" w:cs="Tw Cen MT"/>
          <w:sz w:val="24"/>
          <w:szCs w:val="24"/>
        </w:rPr>
        <w:t>be expressed in language accessible to the pupil whereby targets are personalised and differentiated;</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 xml:space="preserve">recognise, encourage and reward a pupil’s effort and progress; </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 xml:space="preserve">offer questions to promote thinking; </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use a balance of formative and summative feedback;</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w Cen MT"/>
          <w:sz w:val="24"/>
          <w:szCs w:val="24"/>
        </w:rPr>
        <w:t>be responded to by the pupil, applying the next steps for learning;</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encourage pupils and teachers to</w:t>
      </w:r>
      <w:bookmarkStart w:id="0" w:name="_GoBack"/>
      <w:bookmarkEnd w:id="0"/>
      <w:r w:rsidRPr="00C8685F">
        <w:rPr>
          <w:rFonts w:eastAsia="Times New Roman" w:cs="Tahoma"/>
          <w:sz w:val="24"/>
          <w:szCs w:val="24"/>
        </w:rPr>
        <w:t xml:space="preserve"> reflect on assessment point data;</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r w:rsidRPr="00C8685F">
        <w:rPr>
          <w:rFonts w:eastAsia="Times New Roman" w:cs="Tahoma"/>
          <w:sz w:val="24"/>
          <w:szCs w:val="24"/>
        </w:rPr>
        <w:t>regularly allow pupils to use and develop the skills of peer and self-assessment;</w:t>
      </w:r>
    </w:p>
    <w:p w:rsidR="00C12567" w:rsidRPr="00C8685F" w:rsidRDefault="00C12567" w:rsidP="00C12567">
      <w:pPr>
        <w:numPr>
          <w:ilvl w:val="0"/>
          <w:numId w:val="2"/>
        </w:numPr>
        <w:spacing w:after="0" w:line="240" w:lineRule="auto"/>
        <w:ind w:left="540" w:hanging="540"/>
        <w:jc w:val="both"/>
        <w:rPr>
          <w:rFonts w:eastAsia="Times New Roman" w:cs="Tahoma"/>
          <w:sz w:val="24"/>
          <w:szCs w:val="24"/>
        </w:rPr>
      </w:pPr>
      <w:proofErr w:type="gramStart"/>
      <w:r w:rsidRPr="00C8685F">
        <w:rPr>
          <w:rFonts w:eastAsia="Times New Roman" w:cs="Tahoma"/>
          <w:sz w:val="24"/>
          <w:szCs w:val="24"/>
        </w:rPr>
        <w:t>be</w:t>
      </w:r>
      <w:proofErr w:type="gramEnd"/>
      <w:r w:rsidRPr="00C8685F">
        <w:rPr>
          <w:rFonts w:eastAsia="Times New Roman" w:cs="Tahoma"/>
          <w:sz w:val="24"/>
          <w:szCs w:val="24"/>
        </w:rPr>
        <w:t xml:space="preserve"> underpinned by the principle that all pupils can make progress and are expected to be the best that they can be.</w:t>
      </w:r>
    </w:p>
    <w:p w:rsidR="00C12567" w:rsidRPr="00C8685F" w:rsidRDefault="00C12567">
      <w:pPr>
        <w:rPr>
          <w:sz w:val="24"/>
          <w:szCs w:val="24"/>
        </w:rPr>
      </w:pPr>
    </w:p>
    <w:p w:rsidR="00A00944" w:rsidRPr="00C8685F" w:rsidRDefault="00A00944" w:rsidP="00A00944">
      <w:pPr>
        <w:spacing w:after="0" w:line="240" w:lineRule="auto"/>
        <w:jc w:val="both"/>
        <w:rPr>
          <w:rFonts w:eastAsia="Times New Roman" w:cs="Tahoma"/>
          <w:sz w:val="24"/>
          <w:szCs w:val="24"/>
        </w:rPr>
      </w:pPr>
      <w:r w:rsidRPr="00C8685F">
        <w:rPr>
          <w:rFonts w:ascii="Calibri" w:hAnsi="Calibri" w:cs="Tahoma"/>
          <w:b/>
          <w:sz w:val="24"/>
          <w:szCs w:val="24"/>
          <w:u w:val="single"/>
        </w:rPr>
        <w:t>Two stars and a wish marking system:</w:t>
      </w:r>
    </w:p>
    <w:p w:rsidR="00A00944" w:rsidRPr="00C8685F" w:rsidRDefault="00A00944" w:rsidP="00A00944">
      <w:pPr>
        <w:numPr>
          <w:ilvl w:val="0"/>
          <w:numId w:val="3"/>
        </w:numPr>
        <w:spacing w:after="0" w:line="240" w:lineRule="auto"/>
        <w:jc w:val="both"/>
        <w:rPr>
          <w:rFonts w:ascii="Calibri" w:hAnsi="Calibri" w:cs="Tahoma"/>
          <w:sz w:val="24"/>
          <w:szCs w:val="24"/>
        </w:rPr>
      </w:pPr>
      <w:r w:rsidRPr="00C8685F">
        <w:rPr>
          <w:rFonts w:ascii="Calibri" w:hAnsi="Calibri" w:cs="Tahoma"/>
          <w:sz w:val="24"/>
          <w:szCs w:val="24"/>
        </w:rPr>
        <w:t>Stars must:</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praise students for what they have done well in relation to the success criteria of a task;</w:t>
      </w:r>
    </w:p>
    <w:p w:rsidR="00A00944" w:rsidRPr="00C8685F" w:rsidRDefault="00A00944" w:rsidP="00A00944">
      <w:pPr>
        <w:numPr>
          <w:ilvl w:val="1"/>
          <w:numId w:val="3"/>
        </w:numPr>
        <w:spacing w:after="0" w:line="240" w:lineRule="auto"/>
        <w:jc w:val="both"/>
        <w:rPr>
          <w:rFonts w:ascii="Calibri" w:hAnsi="Calibri" w:cs="Tahoma"/>
          <w:sz w:val="24"/>
          <w:szCs w:val="24"/>
        </w:rPr>
      </w:pPr>
      <w:r w:rsidRPr="00C8685F">
        <w:rPr>
          <w:rFonts w:ascii="Calibri" w:hAnsi="Calibri" w:cs="Tahoma"/>
          <w:sz w:val="24"/>
          <w:szCs w:val="24"/>
        </w:rPr>
        <w:t>comment on where pupils have made progress;</w:t>
      </w:r>
    </w:p>
    <w:p w:rsidR="00A00944" w:rsidRPr="00C8685F" w:rsidRDefault="00A00944" w:rsidP="00A00944">
      <w:pPr>
        <w:numPr>
          <w:ilvl w:val="1"/>
          <w:numId w:val="3"/>
        </w:numPr>
        <w:spacing w:after="0" w:line="240" w:lineRule="auto"/>
        <w:jc w:val="both"/>
        <w:rPr>
          <w:rFonts w:ascii="Calibri" w:hAnsi="Calibri" w:cs="Tahoma"/>
          <w:sz w:val="24"/>
          <w:szCs w:val="24"/>
        </w:rPr>
      </w:pPr>
      <w:proofErr w:type="gramStart"/>
      <w:r w:rsidRPr="00C8685F">
        <w:rPr>
          <w:rFonts w:ascii="Calibri" w:hAnsi="Calibri" w:cs="Tahoma"/>
          <w:sz w:val="24"/>
          <w:szCs w:val="24"/>
        </w:rPr>
        <w:t>be</w:t>
      </w:r>
      <w:proofErr w:type="gramEnd"/>
      <w:r w:rsidRPr="00C8685F">
        <w:rPr>
          <w:rFonts w:ascii="Calibri" w:hAnsi="Calibri" w:cs="Tahoma"/>
          <w:sz w:val="24"/>
          <w:szCs w:val="24"/>
        </w:rPr>
        <w:t xml:space="preserve"> personalised to the pupil.</w:t>
      </w:r>
    </w:p>
    <w:p w:rsidR="00A00944" w:rsidRPr="00C8685F" w:rsidRDefault="00A00944" w:rsidP="00A00944">
      <w:pPr>
        <w:numPr>
          <w:ilvl w:val="0"/>
          <w:numId w:val="3"/>
        </w:numPr>
        <w:spacing w:after="0" w:line="240" w:lineRule="auto"/>
        <w:jc w:val="both"/>
        <w:rPr>
          <w:rFonts w:ascii="Calibri" w:hAnsi="Calibri" w:cs="Tahoma"/>
          <w:sz w:val="24"/>
          <w:szCs w:val="24"/>
        </w:rPr>
      </w:pPr>
      <w:r w:rsidRPr="00C8685F">
        <w:rPr>
          <w:rFonts w:ascii="Calibri" w:hAnsi="Calibri" w:cs="Tahoma"/>
          <w:sz w:val="24"/>
          <w:szCs w:val="24"/>
        </w:rPr>
        <w:t>Wishes must:</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be tasks or questions designed to help pupils take the next steps in their learning;</w:t>
      </w:r>
    </w:p>
    <w:p w:rsidR="00A00944" w:rsidRPr="00C8685F" w:rsidRDefault="00A00944" w:rsidP="00A00944">
      <w:pPr>
        <w:numPr>
          <w:ilvl w:val="1"/>
          <w:numId w:val="4"/>
        </w:numPr>
        <w:spacing w:after="0" w:line="240" w:lineRule="auto"/>
        <w:jc w:val="both"/>
        <w:rPr>
          <w:rFonts w:ascii="Calibri" w:hAnsi="Calibri" w:cs="Tahoma"/>
          <w:sz w:val="24"/>
          <w:szCs w:val="24"/>
        </w:rPr>
      </w:pPr>
      <w:r w:rsidRPr="00C8685F">
        <w:rPr>
          <w:rFonts w:ascii="Calibri" w:hAnsi="Calibri" w:cs="Tahoma"/>
          <w:sz w:val="24"/>
          <w:szCs w:val="24"/>
        </w:rPr>
        <w:t xml:space="preserve">ensure that students understand </w:t>
      </w:r>
      <w:r w:rsidRPr="00C8685F">
        <w:rPr>
          <w:rFonts w:ascii="Calibri" w:hAnsi="Calibri" w:cs="Tahoma"/>
          <w:sz w:val="24"/>
          <w:szCs w:val="24"/>
          <w:u w:val="single"/>
        </w:rPr>
        <w:t>why</w:t>
      </w:r>
      <w:r w:rsidRPr="00C8685F">
        <w:rPr>
          <w:rFonts w:ascii="Calibri" w:hAnsi="Calibri" w:cs="Tahoma"/>
          <w:sz w:val="24"/>
          <w:szCs w:val="24"/>
        </w:rPr>
        <w:t xml:space="preserve"> they are doing something;</w:t>
      </w:r>
    </w:p>
    <w:p w:rsidR="00A00944" w:rsidRPr="00C8685F" w:rsidRDefault="00A00944" w:rsidP="00A00944">
      <w:pPr>
        <w:numPr>
          <w:ilvl w:val="1"/>
          <w:numId w:val="4"/>
        </w:numPr>
        <w:spacing w:after="0" w:line="240" w:lineRule="auto"/>
        <w:jc w:val="both"/>
        <w:rPr>
          <w:rFonts w:ascii="Calibri" w:hAnsi="Calibri" w:cs="Tahoma"/>
          <w:sz w:val="24"/>
          <w:szCs w:val="24"/>
        </w:rPr>
      </w:pPr>
      <w:proofErr w:type="gramStart"/>
      <w:r w:rsidRPr="00C8685F">
        <w:rPr>
          <w:rFonts w:ascii="Calibri" w:hAnsi="Calibri" w:cs="Tahoma"/>
          <w:sz w:val="24"/>
          <w:szCs w:val="24"/>
        </w:rPr>
        <w:t>be</w:t>
      </w:r>
      <w:proofErr w:type="gramEnd"/>
      <w:r w:rsidRPr="00C8685F">
        <w:rPr>
          <w:rFonts w:ascii="Calibri" w:hAnsi="Calibri" w:cs="Tahoma"/>
          <w:sz w:val="24"/>
          <w:szCs w:val="24"/>
        </w:rPr>
        <w:t xml:space="preserve"> responded to and directed time should be provided for this (lesson or homework time).</w:t>
      </w:r>
    </w:p>
    <w:p w:rsidR="00A00944" w:rsidRPr="00C8685F" w:rsidRDefault="00A00944" w:rsidP="00E74B56">
      <w:pPr>
        <w:numPr>
          <w:ilvl w:val="0"/>
          <w:numId w:val="4"/>
        </w:numPr>
        <w:spacing w:after="0" w:line="240" w:lineRule="auto"/>
        <w:jc w:val="both"/>
        <w:rPr>
          <w:rFonts w:ascii="Calibri" w:hAnsi="Calibri" w:cs="Tahoma"/>
          <w:sz w:val="24"/>
          <w:szCs w:val="24"/>
        </w:rPr>
      </w:pPr>
      <w:r w:rsidRPr="00C8685F">
        <w:rPr>
          <w:rFonts w:ascii="Calibri" w:hAnsi="Calibri" w:cs="Tahoma"/>
          <w:sz w:val="24"/>
          <w:szCs w:val="24"/>
        </w:rPr>
        <w:t>Peer and self-assessment must use the two star and wish format where possible.</w:t>
      </w:r>
    </w:p>
    <w:p w:rsidR="00A00944" w:rsidRDefault="00A00944"/>
    <w:p w:rsidR="00C8685F" w:rsidRPr="00C8685F" w:rsidRDefault="00C8685F" w:rsidP="00C8685F">
      <w:pPr>
        <w:jc w:val="both"/>
        <w:rPr>
          <w:b/>
          <w:sz w:val="24"/>
          <w:szCs w:val="21"/>
          <w:u w:val="single"/>
        </w:rPr>
      </w:pPr>
      <w:r w:rsidRPr="00C8685F">
        <w:rPr>
          <w:b/>
          <w:sz w:val="24"/>
          <w:szCs w:val="21"/>
          <w:u w:val="single"/>
        </w:rPr>
        <w:t>Literacy across the curriculum:</w:t>
      </w:r>
    </w:p>
    <w:p w:rsidR="006D0732" w:rsidRDefault="00C8685F" w:rsidP="006D0732">
      <w:pPr>
        <w:pStyle w:val="NoSpacing"/>
        <w:rPr>
          <w:sz w:val="24"/>
        </w:rPr>
      </w:pPr>
      <w:r w:rsidRPr="006D0732">
        <w:rPr>
          <w:sz w:val="24"/>
        </w:rPr>
        <w:t>All teachers are teachers of literacy. Feedback and marking should promote the highest standards of writing and literacy across the curriculum. Subjects will use a shared literacy mark code to achieve consistency between curriculum areas.</w:t>
      </w:r>
    </w:p>
    <w:tbl>
      <w:tblPr>
        <w:tblStyle w:val="TableGrid"/>
        <w:tblW w:w="0" w:type="auto"/>
        <w:tblLook w:val="04A0" w:firstRow="1" w:lastRow="0" w:firstColumn="1" w:lastColumn="0" w:noHBand="0" w:noVBand="1"/>
      </w:tblPr>
      <w:tblGrid>
        <w:gridCol w:w="1291"/>
        <w:gridCol w:w="8763"/>
      </w:tblGrid>
      <w:tr w:rsidR="006D0732" w:rsidTr="006D0732">
        <w:tc>
          <w:tcPr>
            <w:tcW w:w="846" w:type="dxa"/>
          </w:tcPr>
          <w:p w:rsidR="006D0732" w:rsidRDefault="006D0732" w:rsidP="006D0732">
            <w:pPr>
              <w:pStyle w:val="NoSpacing"/>
              <w:jc w:val="center"/>
              <w:rPr>
                <w:sz w:val="24"/>
              </w:rPr>
            </w:pPr>
            <w:r>
              <w:rPr>
                <w:sz w:val="24"/>
              </w:rPr>
              <w:t>P</w:t>
            </w:r>
          </w:p>
        </w:tc>
        <w:tc>
          <w:tcPr>
            <w:tcW w:w="9208" w:type="dxa"/>
          </w:tcPr>
          <w:p w:rsidR="006D0732" w:rsidRDefault="006D0732" w:rsidP="006D0732">
            <w:pPr>
              <w:pStyle w:val="NoSpacing"/>
              <w:rPr>
                <w:sz w:val="24"/>
              </w:rPr>
            </w:pPr>
            <w:r>
              <w:rPr>
                <w:sz w:val="24"/>
              </w:rPr>
              <w:t>Missing or incorrect punctuation mark(s) or missing capital letter</w:t>
            </w:r>
          </w:p>
        </w:tc>
      </w:tr>
      <w:tr w:rsidR="006D0732" w:rsidTr="006D0732">
        <w:tc>
          <w:tcPr>
            <w:tcW w:w="846" w:type="dxa"/>
          </w:tcPr>
          <w:p w:rsidR="006D0732" w:rsidRDefault="006D0732" w:rsidP="006D0732">
            <w:pPr>
              <w:pStyle w:val="NoSpacing"/>
              <w:jc w:val="center"/>
              <w:rPr>
                <w:sz w:val="24"/>
              </w:rPr>
            </w:pPr>
            <w:r>
              <w:rPr>
                <w:noProof/>
                <w:lang w:eastAsia="en-GB"/>
              </w:rPr>
              <w:drawing>
                <wp:inline distT="0" distB="0" distL="0" distR="0" wp14:anchorId="0652E1FC" wp14:editId="770B3922">
                  <wp:extent cx="682752" cy="200025"/>
                  <wp:effectExtent l="0" t="0" r="0" b="0"/>
                  <wp:docPr id="3" name="Picture 3" descr="Image result for squiggle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squiggle lin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86515" cy="201127"/>
                          </a:xfrm>
                          <a:prstGeom prst="rect">
                            <a:avLst/>
                          </a:prstGeom>
                          <a:noFill/>
                          <a:ln>
                            <a:noFill/>
                          </a:ln>
                        </pic:spPr>
                      </pic:pic>
                    </a:graphicData>
                  </a:graphic>
                </wp:inline>
              </w:drawing>
            </w:r>
          </w:p>
        </w:tc>
        <w:tc>
          <w:tcPr>
            <w:tcW w:w="9208" w:type="dxa"/>
          </w:tcPr>
          <w:p w:rsidR="006D0732" w:rsidRDefault="006D0732" w:rsidP="006D0732">
            <w:pPr>
              <w:pStyle w:val="NoSpacing"/>
              <w:rPr>
                <w:sz w:val="24"/>
              </w:rPr>
            </w:pPr>
            <w:r>
              <w:rPr>
                <w:sz w:val="24"/>
              </w:rPr>
              <w:t>Single ‘squiggle’ under a phrase or word that makes no sense.</w:t>
            </w:r>
          </w:p>
        </w:tc>
      </w:tr>
      <w:tr w:rsidR="006D0732" w:rsidTr="006D0732">
        <w:tc>
          <w:tcPr>
            <w:tcW w:w="846" w:type="dxa"/>
          </w:tcPr>
          <w:p w:rsidR="006D0732" w:rsidRDefault="006D0732" w:rsidP="006D0732">
            <w:pPr>
              <w:pStyle w:val="NoSpacing"/>
              <w:jc w:val="center"/>
              <w:rPr>
                <w:sz w:val="24"/>
              </w:rPr>
            </w:pPr>
            <w:r>
              <w:rPr>
                <w:sz w:val="24"/>
              </w:rPr>
              <w:t>/\</w:t>
            </w:r>
          </w:p>
        </w:tc>
        <w:tc>
          <w:tcPr>
            <w:tcW w:w="9208" w:type="dxa"/>
          </w:tcPr>
          <w:p w:rsidR="006D0732" w:rsidRDefault="006D0732" w:rsidP="006D0732">
            <w:pPr>
              <w:pStyle w:val="NoSpacing"/>
              <w:rPr>
                <w:sz w:val="24"/>
              </w:rPr>
            </w:pPr>
            <w:r>
              <w:rPr>
                <w:sz w:val="24"/>
              </w:rPr>
              <w:t>Indicates a missing word</w:t>
            </w:r>
          </w:p>
        </w:tc>
      </w:tr>
      <w:tr w:rsidR="006D0732" w:rsidTr="006D0732">
        <w:trPr>
          <w:trHeight w:val="70"/>
        </w:trPr>
        <w:tc>
          <w:tcPr>
            <w:tcW w:w="846" w:type="dxa"/>
          </w:tcPr>
          <w:p w:rsidR="006D0732" w:rsidRDefault="006D0732" w:rsidP="006D0732">
            <w:pPr>
              <w:pStyle w:val="NoSpacing"/>
              <w:jc w:val="center"/>
              <w:rPr>
                <w:sz w:val="24"/>
              </w:rPr>
            </w:pPr>
            <w:r>
              <w:rPr>
                <w:sz w:val="24"/>
              </w:rPr>
              <w:t>CS</w:t>
            </w:r>
          </w:p>
        </w:tc>
        <w:tc>
          <w:tcPr>
            <w:tcW w:w="9208" w:type="dxa"/>
          </w:tcPr>
          <w:p w:rsidR="006D0732" w:rsidRDefault="006D0732" w:rsidP="006D0732">
            <w:pPr>
              <w:pStyle w:val="NoSpacing"/>
              <w:rPr>
                <w:sz w:val="24"/>
              </w:rPr>
            </w:pPr>
            <w:r>
              <w:rPr>
                <w:sz w:val="24"/>
              </w:rPr>
              <w:t>Comma splicing error (where a comma have been used in place of a full stop)</w:t>
            </w:r>
          </w:p>
        </w:tc>
      </w:tr>
      <w:tr w:rsidR="006D0732" w:rsidTr="006D0732">
        <w:trPr>
          <w:trHeight w:val="70"/>
        </w:trPr>
        <w:tc>
          <w:tcPr>
            <w:tcW w:w="846" w:type="dxa"/>
          </w:tcPr>
          <w:p w:rsidR="006D0732" w:rsidRDefault="006D0732" w:rsidP="006D0732">
            <w:pPr>
              <w:pStyle w:val="NoSpacing"/>
              <w:jc w:val="center"/>
              <w:rPr>
                <w:sz w:val="24"/>
              </w:rPr>
            </w:pPr>
            <w:r>
              <w:rPr>
                <w:sz w:val="24"/>
              </w:rPr>
              <w:t>T</w:t>
            </w:r>
          </w:p>
        </w:tc>
        <w:tc>
          <w:tcPr>
            <w:tcW w:w="9208" w:type="dxa"/>
          </w:tcPr>
          <w:p w:rsidR="006D0732" w:rsidRDefault="006D0732" w:rsidP="006D0732">
            <w:pPr>
              <w:pStyle w:val="NoSpacing"/>
              <w:rPr>
                <w:sz w:val="24"/>
              </w:rPr>
            </w:pPr>
            <w:r>
              <w:rPr>
                <w:sz w:val="24"/>
              </w:rPr>
              <w:t>Incorrect tense</w:t>
            </w:r>
          </w:p>
        </w:tc>
      </w:tr>
      <w:tr w:rsidR="006D0732" w:rsidTr="006D0732">
        <w:trPr>
          <w:trHeight w:val="70"/>
        </w:trPr>
        <w:tc>
          <w:tcPr>
            <w:tcW w:w="846" w:type="dxa"/>
          </w:tcPr>
          <w:p w:rsidR="006D0732" w:rsidRDefault="006D0732" w:rsidP="006D0732">
            <w:pPr>
              <w:pStyle w:val="NoSpacing"/>
              <w:jc w:val="center"/>
              <w:rPr>
                <w:sz w:val="24"/>
              </w:rPr>
            </w:pPr>
            <w:r>
              <w:rPr>
                <w:sz w:val="24"/>
              </w:rPr>
              <w:t>//</w:t>
            </w:r>
          </w:p>
        </w:tc>
        <w:tc>
          <w:tcPr>
            <w:tcW w:w="9208" w:type="dxa"/>
          </w:tcPr>
          <w:p w:rsidR="006D0732" w:rsidRDefault="006D0732" w:rsidP="006D0732">
            <w:pPr>
              <w:pStyle w:val="NoSpacing"/>
              <w:rPr>
                <w:sz w:val="24"/>
              </w:rPr>
            </w:pPr>
            <w:r>
              <w:rPr>
                <w:sz w:val="24"/>
              </w:rPr>
              <w:t>New paragraph needed here</w:t>
            </w:r>
          </w:p>
        </w:tc>
      </w:tr>
      <w:tr w:rsidR="006D0732" w:rsidTr="006D0732">
        <w:trPr>
          <w:trHeight w:val="70"/>
        </w:trPr>
        <w:tc>
          <w:tcPr>
            <w:tcW w:w="846" w:type="dxa"/>
          </w:tcPr>
          <w:p w:rsidR="006D0732" w:rsidRDefault="006D0732" w:rsidP="006D0732">
            <w:pPr>
              <w:pStyle w:val="NoSpacing"/>
              <w:jc w:val="center"/>
              <w:rPr>
                <w:sz w:val="24"/>
              </w:rPr>
            </w:pPr>
            <w:r>
              <w:rPr>
                <w:sz w:val="24"/>
              </w:rPr>
              <w:t>WW</w:t>
            </w:r>
          </w:p>
        </w:tc>
        <w:tc>
          <w:tcPr>
            <w:tcW w:w="9208" w:type="dxa"/>
          </w:tcPr>
          <w:p w:rsidR="006D0732" w:rsidRDefault="006D0732" w:rsidP="006D0732">
            <w:pPr>
              <w:pStyle w:val="NoSpacing"/>
              <w:rPr>
                <w:sz w:val="24"/>
              </w:rPr>
            </w:pPr>
            <w:r>
              <w:rPr>
                <w:sz w:val="24"/>
              </w:rPr>
              <w:t>Wrong word used</w:t>
            </w:r>
          </w:p>
        </w:tc>
      </w:tr>
      <w:tr w:rsidR="006D0732" w:rsidTr="006D0732">
        <w:trPr>
          <w:trHeight w:val="70"/>
        </w:trPr>
        <w:tc>
          <w:tcPr>
            <w:tcW w:w="846" w:type="dxa"/>
          </w:tcPr>
          <w:p w:rsidR="006D0732" w:rsidRDefault="006D0732" w:rsidP="006D0732">
            <w:pPr>
              <w:pStyle w:val="NoSpacing"/>
              <w:jc w:val="center"/>
              <w:rPr>
                <w:sz w:val="24"/>
              </w:rPr>
            </w:pPr>
            <w:proofErr w:type="spellStart"/>
            <w:r>
              <w:rPr>
                <w:sz w:val="24"/>
              </w:rPr>
              <w:t>Sp</w:t>
            </w:r>
            <w:proofErr w:type="spellEnd"/>
          </w:p>
        </w:tc>
        <w:tc>
          <w:tcPr>
            <w:tcW w:w="9208" w:type="dxa"/>
          </w:tcPr>
          <w:p w:rsidR="006D0732" w:rsidRDefault="006D0732" w:rsidP="006D0732">
            <w:pPr>
              <w:pStyle w:val="NoSpacing"/>
              <w:rPr>
                <w:sz w:val="24"/>
              </w:rPr>
            </w:pPr>
            <w:r>
              <w:rPr>
                <w:sz w:val="24"/>
              </w:rPr>
              <w:t>Spelling mistake</w:t>
            </w:r>
          </w:p>
        </w:tc>
      </w:tr>
    </w:tbl>
    <w:p w:rsidR="00C8685F" w:rsidRPr="00C8685F" w:rsidRDefault="00C8685F" w:rsidP="00C8685F">
      <w:pPr>
        <w:jc w:val="both"/>
        <w:rPr>
          <w:rFonts w:cstheme="minorHAnsi"/>
          <w:sz w:val="24"/>
          <w:szCs w:val="21"/>
        </w:rPr>
      </w:pPr>
    </w:p>
    <w:tbl>
      <w:tblPr>
        <w:tblStyle w:val="TableGrid"/>
        <w:tblW w:w="0" w:type="auto"/>
        <w:tblLook w:val="04A0" w:firstRow="1" w:lastRow="0" w:firstColumn="1" w:lastColumn="0" w:noHBand="0" w:noVBand="1"/>
      </w:tblPr>
      <w:tblGrid>
        <w:gridCol w:w="10054"/>
      </w:tblGrid>
      <w:tr w:rsidR="00C12567" w:rsidTr="00C12567">
        <w:tc>
          <w:tcPr>
            <w:tcW w:w="10054" w:type="dxa"/>
          </w:tcPr>
          <w:p w:rsidR="00C12567" w:rsidRPr="00C33904" w:rsidRDefault="00C33904" w:rsidP="00C33904">
            <w:pPr>
              <w:jc w:val="center"/>
              <w:rPr>
                <w:b/>
              </w:rPr>
            </w:pPr>
            <w:r w:rsidRPr="00C33904">
              <w:rPr>
                <w:b/>
                <w:sz w:val="28"/>
              </w:rPr>
              <w:lastRenderedPageBreak/>
              <w:t>Outline the frequency of feedback, methods of feedback and where feedback can be found for each Key Stage</w:t>
            </w:r>
          </w:p>
        </w:tc>
      </w:tr>
      <w:tr w:rsidR="00C33904" w:rsidTr="00C12567">
        <w:tc>
          <w:tcPr>
            <w:tcW w:w="10054" w:type="dxa"/>
          </w:tcPr>
          <w:p w:rsidR="00C33904" w:rsidRPr="00C4247F" w:rsidRDefault="00C33904" w:rsidP="00C33904">
            <w:pPr>
              <w:jc w:val="center"/>
              <w:rPr>
                <w:b/>
                <w:sz w:val="28"/>
                <w:u w:val="single"/>
              </w:rPr>
            </w:pPr>
            <w:r w:rsidRPr="00C4247F">
              <w:rPr>
                <w:b/>
                <w:sz w:val="28"/>
                <w:u w:val="single"/>
              </w:rPr>
              <w:t>KS3</w:t>
            </w:r>
          </w:p>
          <w:p w:rsidR="000830F2" w:rsidRPr="000830F2" w:rsidRDefault="000830F2" w:rsidP="000830F2">
            <w:pPr>
              <w:spacing w:after="160" w:line="259" w:lineRule="auto"/>
            </w:pPr>
            <w:r w:rsidRPr="000830F2">
              <w:t>KS3</w:t>
            </w:r>
          </w:p>
          <w:p w:rsidR="000830F2" w:rsidRPr="000830F2" w:rsidRDefault="000830F2" w:rsidP="000830F2">
            <w:pPr>
              <w:spacing w:after="160" w:line="259" w:lineRule="auto"/>
            </w:pPr>
            <w:r w:rsidRPr="000830F2">
              <w:t xml:space="preserve">Marking is holistic at the end of projects. Individual pieces of work are marked occasionally- </w:t>
            </w:r>
            <w:proofErr w:type="spellStart"/>
            <w:r w:rsidRPr="000830F2">
              <w:t>ie</w:t>
            </w:r>
            <w:proofErr w:type="spellEnd"/>
            <w:r w:rsidRPr="000830F2">
              <w:t xml:space="preserve"> to identify standard or progress in a skill/ base line assessment. Marking holistically ensures that all elements within the KS3 programme of study are assessed,-</w:t>
            </w:r>
          </w:p>
          <w:p w:rsidR="000830F2" w:rsidRPr="000830F2" w:rsidRDefault="000830F2" w:rsidP="000830F2">
            <w:pPr>
              <w:spacing w:after="160" w:line="259" w:lineRule="auto"/>
            </w:pPr>
            <w:r w:rsidRPr="000830F2">
              <w:t xml:space="preserve">                             Generating Ideas – Making – Knowledge – Evaluating</w:t>
            </w:r>
          </w:p>
          <w:p w:rsidR="000830F2" w:rsidRPr="000830F2" w:rsidRDefault="000830F2" w:rsidP="000830F2">
            <w:pPr>
              <w:spacing w:after="160" w:line="259" w:lineRule="auto"/>
            </w:pPr>
            <w:r w:rsidRPr="000830F2">
              <w:t>Homework is set as a combination of short tasks linked to current projects, which are not formally marked and as extended Independent Learning Tasks, which are formally marked using the school policy of three stars and a wish.</w:t>
            </w:r>
          </w:p>
          <w:p w:rsidR="000830F2" w:rsidRPr="000830F2" w:rsidRDefault="000830F2" w:rsidP="000830F2">
            <w:pPr>
              <w:spacing w:after="160" w:line="259" w:lineRule="auto"/>
            </w:pPr>
            <w:proofErr w:type="gramStart"/>
            <w:r w:rsidRPr="000830F2">
              <w:t>KS3 sketchpads are not written on by the teacher</w:t>
            </w:r>
            <w:proofErr w:type="gramEnd"/>
            <w:r w:rsidRPr="000830F2">
              <w:t>; marking is recorded in individual pupil assessment folders. This folder includes AP data tracking in line with school policy.</w:t>
            </w:r>
          </w:p>
          <w:p w:rsidR="00931AF2" w:rsidRPr="000830F2" w:rsidRDefault="00931AF2" w:rsidP="000830F2">
            <w:pPr>
              <w:pStyle w:val="NoSpacing"/>
              <w:rPr>
                <w:rFonts w:ascii="Calibri" w:eastAsia="Times New Roman" w:hAnsi="Calibri" w:cs="Tahoma"/>
                <w:sz w:val="21"/>
                <w:szCs w:val="21"/>
              </w:rPr>
            </w:pPr>
          </w:p>
          <w:p w:rsidR="00931AF2" w:rsidRDefault="00931AF2" w:rsidP="00931AF2">
            <w:pPr>
              <w:pStyle w:val="NoSpacing"/>
              <w:rPr>
                <w:rFonts w:ascii="Calibri" w:eastAsia="Times New Roman" w:hAnsi="Calibri" w:cs="Tahoma"/>
                <w:sz w:val="21"/>
                <w:szCs w:val="21"/>
              </w:rPr>
            </w:pPr>
          </w:p>
          <w:p w:rsidR="00931AF2" w:rsidRDefault="00931AF2" w:rsidP="00931AF2">
            <w:pPr>
              <w:pStyle w:val="NoSpacing"/>
              <w:rPr>
                <w:rFonts w:ascii="Calibri" w:eastAsia="Times New Roman" w:hAnsi="Calibri" w:cs="Tahoma"/>
                <w:sz w:val="21"/>
                <w:szCs w:val="21"/>
              </w:rPr>
            </w:pPr>
          </w:p>
          <w:p w:rsidR="00931AF2" w:rsidRPr="00A00944" w:rsidRDefault="00931AF2" w:rsidP="00931AF2">
            <w:pPr>
              <w:pStyle w:val="NoSpacing"/>
              <w:rPr>
                <w:rFonts w:ascii="Calibri" w:eastAsia="Times New Roman" w:hAnsi="Calibri" w:cs="Tahoma"/>
                <w:sz w:val="21"/>
                <w:szCs w:val="21"/>
              </w:rPr>
            </w:pPr>
          </w:p>
        </w:tc>
      </w:tr>
      <w:tr w:rsidR="00C33904" w:rsidTr="00C12567">
        <w:tc>
          <w:tcPr>
            <w:tcW w:w="10054" w:type="dxa"/>
          </w:tcPr>
          <w:p w:rsidR="00C33904" w:rsidRPr="00C4247F" w:rsidRDefault="00C33904" w:rsidP="00871270">
            <w:pPr>
              <w:pStyle w:val="NoSpacing"/>
              <w:jc w:val="center"/>
              <w:rPr>
                <w:b/>
                <w:sz w:val="28"/>
                <w:u w:val="single"/>
              </w:rPr>
            </w:pPr>
            <w:r w:rsidRPr="00C4247F">
              <w:rPr>
                <w:b/>
                <w:sz w:val="28"/>
                <w:u w:val="single"/>
              </w:rPr>
              <w:t>KS4</w:t>
            </w:r>
          </w:p>
          <w:p w:rsidR="00B52446" w:rsidRPr="00B52446" w:rsidRDefault="00B52446" w:rsidP="00B52446">
            <w:pPr>
              <w:pStyle w:val="NoSpacing"/>
              <w:ind w:left="306"/>
              <w:rPr>
                <w:rFonts w:ascii="Calibri" w:eastAsia="Times New Roman" w:hAnsi="Calibri" w:cs="Tahoma"/>
                <w:b/>
              </w:rPr>
            </w:pPr>
          </w:p>
          <w:p w:rsidR="000830F2" w:rsidRPr="000830F2" w:rsidRDefault="000830F2" w:rsidP="000830F2">
            <w:pPr>
              <w:spacing w:after="160" w:line="259" w:lineRule="auto"/>
            </w:pPr>
            <w:r w:rsidRPr="000830F2">
              <w:t>Portfolio marking (Component 1 AQA GCSE) – Pupils have individual folders:</w:t>
            </w:r>
          </w:p>
          <w:p w:rsidR="000830F2" w:rsidRPr="000830F2" w:rsidRDefault="000830F2" w:rsidP="000830F2">
            <w:pPr>
              <w:numPr>
                <w:ilvl w:val="0"/>
                <w:numId w:val="8"/>
              </w:numPr>
              <w:spacing w:after="160" w:line="259" w:lineRule="auto"/>
              <w:contextualSpacing/>
            </w:pPr>
            <w:r w:rsidRPr="000830F2">
              <w:t>Cover sheet has GCSE Target and AP data record</w:t>
            </w:r>
          </w:p>
          <w:p w:rsidR="000830F2" w:rsidRPr="000830F2" w:rsidRDefault="000830F2" w:rsidP="000830F2">
            <w:pPr>
              <w:numPr>
                <w:ilvl w:val="0"/>
                <w:numId w:val="8"/>
              </w:numPr>
              <w:spacing w:after="160" w:line="259" w:lineRule="auto"/>
              <w:contextualSpacing/>
            </w:pPr>
            <w:proofErr w:type="gramStart"/>
            <w:r w:rsidRPr="000830F2">
              <w:t>Assessment Objective marking grids</w:t>
            </w:r>
            <w:proofErr w:type="gramEnd"/>
            <w:r w:rsidRPr="000830F2">
              <w:t>.  The main project is marked half way through and again at the end of the project using the AQA grid - AO1-4 marks / 24 each AO- overall mark / 96.</w:t>
            </w:r>
          </w:p>
          <w:p w:rsidR="000830F2" w:rsidRPr="000830F2" w:rsidRDefault="000830F2" w:rsidP="000830F2">
            <w:pPr>
              <w:numPr>
                <w:ilvl w:val="0"/>
                <w:numId w:val="8"/>
              </w:numPr>
              <w:spacing w:after="160" w:line="259" w:lineRule="auto"/>
              <w:contextualSpacing/>
            </w:pPr>
            <w:r w:rsidRPr="000830F2">
              <w:t>Workshop recording/key individual tasks are marked using the school policy of three stars and a wish.</w:t>
            </w:r>
          </w:p>
          <w:p w:rsidR="000830F2" w:rsidRPr="000830F2" w:rsidRDefault="000830F2" w:rsidP="000830F2">
            <w:pPr>
              <w:numPr>
                <w:ilvl w:val="0"/>
                <w:numId w:val="8"/>
              </w:numPr>
              <w:spacing w:after="160" w:line="259" w:lineRule="auto"/>
              <w:contextualSpacing/>
            </w:pPr>
            <w:r w:rsidRPr="000830F2">
              <w:t xml:space="preserve">Sheets for self- assessment RAG/ lesson target / verbal feedback </w:t>
            </w:r>
          </w:p>
          <w:p w:rsidR="000830F2" w:rsidRPr="000830F2" w:rsidRDefault="000830F2" w:rsidP="000830F2">
            <w:pPr>
              <w:spacing w:after="160" w:line="259" w:lineRule="auto"/>
            </w:pPr>
            <w:r w:rsidRPr="000830F2">
              <w:t>Externally Set Assignment (Component 2 AQA GCSE) – written marking not permitted but AP data tracking continues with verbal feedback recorded by pupils in folders.</w:t>
            </w:r>
          </w:p>
          <w:p w:rsidR="00931AF2" w:rsidRPr="000830F2" w:rsidRDefault="00931AF2" w:rsidP="000830F2">
            <w:pPr>
              <w:pStyle w:val="NoSpacing"/>
              <w:ind w:left="306"/>
              <w:rPr>
                <w:rFonts w:ascii="Calibri" w:eastAsia="Times New Roman" w:hAnsi="Calibri" w:cs="Tahoma"/>
                <w:b/>
              </w:rPr>
            </w:pPr>
          </w:p>
          <w:p w:rsidR="00931AF2" w:rsidRDefault="00931AF2" w:rsidP="00931AF2">
            <w:pPr>
              <w:pStyle w:val="NoSpacing"/>
              <w:ind w:left="306"/>
              <w:rPr>
                <w:b/>
              </w:rPr>
            </w:pPr>
          </w:p>
          <w:p w:rsidR="00931AF2" w:rsidRDefault="00931AF2" w:rsidP="00931AF2">
            <w:pPr>
              <w:pStyle w:val="NoSpacing"/>
              <w:ind w:left="306"/>
              <w:rPr>
                <w:b/>
              </w:rPr>
            </w:pPr>
          </w:p>
          <w:p w:rsidR="00931AF2" w:rsidRPr="00871270" w:rsidRDefault="00931AF2" w:rsidP="00931AF2">
            <w:pPr>
              <w:pStyle w:val="NoSpacing"/>
              <w:ind w:left="306"/>
              <w:rPr>
                <w:rFonts w:ascii="Calibri" w:eastAsia="Times New Roman" w:hAnsi="Calibri" w:cs="Tahoma"/>
                <w:b/>
              </w:rPr>
            </w:pPr>
          </w:p>
          <w:p w:rsidR="004D5D80" w:rsidRPr="000B061F" w:rsidRDefault="000B061F" w:rsidP="00C8685F">
            <w:pPr>
              <w:pStyle w:val="NoSpacing"/>
              <w:rPr>
                <w:i/>
              </w:rPr>
            </w:pPr>
            <w:r w:rsidRPr="000B061F">
              <w:rPr>
                <w:i/>
              </w:rPr>
              <w:t xml:space="preserve"> </w:t>
            </w:r>
          </w:p>
        </w:tc>
      </w:tr>
    </w:tbl>
    <w:p w:rsidR="00C12567" w:rsidRDefault="00C12567"/>
    <w:sectPr w:rsidR="00C12567" w:rsidSect="00B50B19">
      <w:headerReference w:type="default" r:id="rId8"/>
      <w:pgSz w:w="11906" w:h="16838"/>
      <w:pgMar w:top="0" w:right="849" w:bottom="284"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4B56" w:rsidRDefault="00E74B56" w:rsidP="00E74B56">
      <w:pPr>
        <w:spacing w:after="0" w:line="240" w:lineRule="auto"/>
      </w:pPr>
      <w:r>
        <w:separator/>
      </w:r>
    </w:p>
  </w:endnote>
  <w:endnote w:type="continuationSeparator" w:id="0">
    <w:p w:rsidR="00E74B56" w:rsidRDefault="00E74B56" w:rsidP="00E74B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4B56" w:rsidRDefault="00E74B56" w:rsidP="00E74B56">
      <w:pPr>
        <w:spacing w:after="0" w:line="240" w:lineRule="auto"/>
      </w:pPr>
      <w:r>
        <w:separator/>
      </w:r>
    </w:p>
  </w:footnote>
  <w:footnote w:type="continuationSeparator" w:id="0">
    <w:p w:rsidR="00E74B56" w:rsidRDefault="00E74B56" w:rsidP="00E74B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4B56" w:rsidRPr="00E74B56" w:rsidRDefault="000830F2" w:rsidP="00E74B56">
    <w:pPr>
      <w:pStyle w:val="Header"/>
      <w:jc w:val="center"/>
      <w:rPr>
        <w:b/>
        <w:sz w:val="28"/>
        <w:szCs w:val="28"/>
        <w:u w:val="single"/>
      </w:rPr>
    </w:pPr>
    <w:r>
      <w:rPr>
        <w:b/>
        <w:sz w:val="28"/>
        <w:szCs w:val="28"/>
        <w:u w:val="single"/>
      </w:rPr>
      <w:t>Art and Design</w:t>
    </w:r>
    <w:r w:rsidR="00E74B56" w:rsidRPr="00E74B56">
      <w:rPr>
        <w:b/>
        <w:sz w:val="28"/>
        <w:szCs w:val="28"/>
        <w:u w:val="single"/>
      </w:rPr>
      <w:t xml:space="preserve"> Faculty Feedback Policy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D0A75"/>
    <w:multiLevelType w:val="hybridMultilevel"/>
    <w:tmpl w:val="D8F27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785F5F"/>
    <w:multiLevelType w:val="hybridMultilevel"/>
    <w:tmpl w:val="E390B3F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F8A7D05"/>
    <w:multiLevelType w:val="hybridMultilevel"/>
    <w:tmpl w:val="FD0A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0696302"/>
    <w:multiLevelType w:val="hybridMultilevel"/>
    <w:tmpl w:val="4468C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DD1DEA"/>
    <w:multiLevelType w:val="hybridMultilevel"/>
    <w:tmpl w:val="24CAD728"/>
    <w:lvl w:ilvl="0" w:tplc="94A28C4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8F09CE"/>
    <w:multiLevelType w:val="hybridMultilevel"/>
    <w:tmpl w:val="F6968116"/>
    <w:lvl w:ilvl="0" w:tplc="7174E39E">
      <w:start w:val="1"/>
      <w:numFmt w:val="bullet"/>
      <w:lvlText w:val=""/>
      <w:lvlJc w:val="left"/>
      <w:pPr>
        <w:tabs>
          <w:tab w:val="num" w:pos="360"/>
        </w:tabs>
        <w:ind w:left="360" w:hanging="360"/>
      </w:pPr>
      <w:rPr>
        <w:rFonts w:ascii="Symbol" w:hAnsi="Symbol" w:hint="default"/>
        <w:color w:val="auto"/>
      </w:rPr>
    </w:lvl>
    <w:lvl w:ilvl="1" w:tplc="0809000D">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63F165E2"/>
    <w:multiLevelType w:val="hybridMultilevel"/>
    <w:tmpl w:val="A1560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E0601FE"/>
    <w:multiLevelType w:val="hybridMultilevel"/>
    <w:tmpl w:val="3A3A21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5"/>
  </w:num>
  <w:num w:numId="4">
    <w:abstractNumId w:val="1"/>
  </w:num>
  <w:num w:numId="5">
    <w:abstractNumId w:val="0"/>
  </w:num>
  <w:num w:numId="6">
    <w:abstractNumId w:val="6"/>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567"/>
    <w:rsid w:val="00054FDF"/>
    <w:rsid w:val="000830F2"/>
    <w:rsid w:val="000B061F"/>
    <w:rsid w:val="00474251"/>
    <w:rsid w:val="004D5D80"/>
    <w:rsid w:val="004F3E52"/>
    <w:rsid w:val="00541909"/>
    <w:rsid w:val="00611CB4"/>
    <w:rsid w:val="00670C47"/>
    <w:rsid w:val="006B29D8"/>
    <w:rsid w:val="006D0732"/>
    <w:rsid w:val="00871270"/>
    <w:rsid w:val="00883B87"/>
    <w:rsid w:val="008C412E"/>
    <w:rsid w:val="00931AF2"/>
    <w:rsid w:val="00956B96"/>
    <w:rsid w:val="009D049D"/>
    <w:rsid w:val="00A00944"/>
    <w:rsid w:val="00B50B19"/>
    <w:rsid w:val="00B52446"/>
    <w:rsid w:val="00C12567"/>
    <w:rsid w:val="00C33904"/>
    <w:rsid w:val="00C4247F"/>
    <w:rsid w:val="00C8685F"/>
    <w:rsid w:val="00E74B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C6162"/>
  <w15:chartTrackingRefBased/>
  <w15:docId w15:val="{0D18CBDE-3707-4EF3-B33F-7D9A8AD6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256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12567"/>
    <w:pPr>
      <w:spacing w:after="0" w:line="240" w:lineRule="auto"/>
    </w:pPr>
  </w:style>
  <w:style w:type="table" w:styleId="TableGrid">
    <w:name w:val="Table Grid"/>
    <w:basedOn w:val="TableNormal"/>
    <w:uiPriority w:val="59"/>
    <w:rsid w:val="00C125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00944"/>
    <w:pPr>
      <w:ind w:left="720"/>
      <w:contextualSpacing/>
    </w:pPr>
  </w:style>
  <w:style w:type="paragraph" w:styleId="Header">
    <w:name w:val="header"/>
    <w:basedOn w:val="Normal"/>
    <w:link w:val="HeaderChar"/>
    <w:uiPriority w:val="99"/>
    <w:unhideWhenUsed/>
    <w:rsid w:val="00E74B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4B56"/>
  </w:style>
  <w:style w:type="paragraph" w:styleId="Footer">
    <w:name w:val="footer"/>
    <w:basedOn w:val="Normal"/>
    <w:link w:val="FooterChar"/>
    <w:uiPriority w:val="99"/>
    <w:unhideWhenUsed/>
    <w:rsid w:val="00E74B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4B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332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586</Words>
  <Characters>3344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Tenbury High Ormiston Academy</Company>
  <LinksUpToDate>false</LinksUpToDate>
  <CharactersWithSpaces>3923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Wright</dc:creator>
  <cp:keywords/>
  <dc:description/>
  <cp:lastModifiedBy>Hannah Wright</cp:lastModifiedBy>
  <cp:revision>3</cp:revision>
  <dcterms:created xsi:type="dcterms:W3CDTF">2018-04-26T07:37:00Z</dcterms:created>
  <dcterms:modified xsi:type="dcterms:W3CDTF">2018-04-26T08:09:00Z</dcterms:modified>
</cp:coreProperties>
</file>