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4"/>
          <w:szCs w:val="24"/>
          <w:u w:val="single"/>
        </w:rPr>
      </w:pPr>
      <w:r>
        <w:rPr>
          <w:b/>
          <w:sz w:val="24"/>
          <w:szCs w:val="24"/>
          <w:u w:val="single"/>
        </w:rPr>
        <w:t>Aims of Feedback at THOA:</w:t>
      </w:r>
    </w:p>
    <w:p>
      <w:pPr>
        <w:pStyle w:val="NoSpacing"/>
        <w:numPr>
          <w:ilvl w:val="0"/>
          <w:numId w:val="1"/>
        </w:numPr>
        <w:ind w:left="567" w:hanging="567"/>
        <w:jc w:val="both"/>
        <w:rPr>
          <w:sz w:val="24"/>
          <w:szCs w:val="24"/>
        </w:rPr>
      </w:pPr>
      <w:r>
        <w:rPr>
          <w:b/>
          <w:sz w:val="24"/>
          <w:szCs w:val="24"/>
        </w:rPr>
        <w:t>plan</w:t>
      </w:r>
      <w:r>
        <w:rPr>
          <w:sz w:val="24"/>
          <w:szCs w:val="24"/>
        </w:rPr>
        <w:t xml:space="preserve"> opportunities for focused and meaningful  feedback; </w:t>
      </w:r>
    </w:p>
    <w:p>
      <w:pPr>
        <w:pStyle w:val="NoSpacing"/>
        <w:numPr>
          <w:ilvl w:val="0"/>
          <w:numId w:val="1"/>
        </w:numPr>
        <w:ind w:left="567" w:hanging="567"/>
        <w:jc w:val="both"/>
        <w:rPr>
          <w:sz w:val="24"/>
          <w:szCs w:val="24"/>
        </w:rPr>
      </w:pPr>
      <w:r>
        <w:rPr>
          <w:b/>
          <w:sz w:val="24"/>
          <w:szCs w:val="24"/>
        </w:rPr>
        <w:t xml:space="preserve">use </w:t>
      </w:r>
      <w:r>
        <w:rPr>
          <w:sz w:val="24"/>
          <w:szCs w:val="24"/>
        </w:rPr>
        <w:t>two stars and a wish</w:t>
      </w:r>
      <w:r>
        <w:rPr>
          <w:b/>
          <w:sz w:val="24"/>
          <w:szCs w:val="24"/>
        </w:rPr>
        <w:t xml:space="preserve"> </w:t>
      </w:r>
      <w:r>
        <w:rPr>
          <w:sz w:val="24"/>
          <w:szCs w:val="24"/>
        </w:rPr>
        <w:t>to engage pupils in a learning dialogue and provide actionable feedback;</w:t>
      </w:r>
    </w:p>
    <w:p>
      <w:pPr>
        <w:pStyle w:val="NoSpacing"/>
        <w:numPr>
          <w:ilvl w:val="0"/>
          <w:numId w:val="1"/>
        </w:numPr>
        <w:ind w:left="567" w:hanging="567"/>
        <w:jc w:val="both"/>
        <w:rPr>
          <w:sz w:val="24"/>
          <w:szCs w:val="24"/>
        </w:rPr>
      </w:pPr>
      <w:r>
        <w:rPr>
          <w:b/>
          <w:sz w:val="24"/>
          <w:szCs w:val="24"/>
        </w:rPr>
        <w:t>ensure</w:t>
      </w:r>
      <w:r>
        <w:rPr>
          <w:sz w:val="24"/>
          <w:szCs w:val="24"/>
        </w:rPr>
        <w:t xml:space="preserve"> learning is secure through effective written and verbal feedback;</w:t>
      </w:r>
    </w:p>
    <w:p>
      <w:pPr>
        <w:pStyle w:val="NoSpacing"/>
        <w:numPr>
          <w:ilvl w:val="0"/>
          <w:numId w:val="1"/>
        </w:numPr>
        <w:ind w:left="567" w:hanging="567"/>
        <w:jc w:val="both"/>
        <w:rPr>
          <w:sz w:val="24"/>
          <w:szCs w:val="24"/>
        </w:rPr>
      </w:pPr>
      <w:r>
        <w:rPr>
          <w:b/>
          <w:sz w:val="24"/>
          <w:szCs w:val="24"/>
        </w:rPr>
        <w:t>assess</w:t>
      </w:r>
      <w:r>
        <w:rPr>
          <w:sz w:val="24"/>
          <w:szCs w:val="24"/>
        </w:rPr>
        <w:t xml:space="preserve"> progress made by pupils and identify next steps for learning; </w:t>
      </w:r>
    </w:p>
    <w:p>
      <w:pPr>
        <w:pStyle w:val="NoSpacing"/>
        <w:numPr>
          <w:ilvl w:val="0"/>
          <w:numId w:val="1"/>
        </w:numPr>
        <w:ind w:left="567" w:hanging="567"/>
        <w:jc w:val="both"/>
        <w:rPr>
          <w:sz w:val="24"/>
          <w:szCs w:val="24"/>
        </w:rPr>
      </w:pPr>
      <w:r>
        <w:rPr>
          <w:b/>
          <w:sz w:val="24"/>
          <w:szCs w:val="24"/>
        </w:rPr>
        <w:t>personalise</w:t>
      </w:r>
      <w:r>
        <w:rPr>
          <w:sz w:val="24"/>
          <w:szCs w:val="24"/>
        </w:rPr>
        <w:t xml:space="preserve"> feedback to the needs of the individual;</w:t>
      </w:r>
    </w:p>
    <w:p>
      <w:pPr>
        <w:pStyle w:val="NoSpacing"/>
        <w:numPr>
          <w:ilvl w:val="0"/>
          <w:numId w:val="1"/>
        </w:numPr>
        <w:ind w:left="567" w:hanging="567"/>
        <w:jc w:val="both"/>
        <w:rPr>
          <w:sz w:val="24"/>
          <w:szCs w:val="24"/>
        </w:rPr>
      </w:pPr>
      <w:proofErr w:type="gramStart"/>
      <w:r>
        <w:rPr>
          <w:b/>
          <w:sz w:val="24"/>
          <w:szCs w:val="24"/>
        </w:rPr>
        <w:t>create</w:t>
      </w:r>
      <w:proofErr w:type="gramEnd"/>
      <w:r>
        <w:rPr>
          <w:sz w:val="24"/>
          <w:szCs w:val="24"/>
        </w:rPr>
        <w:t xml:space="preserve"> a positive learning environment, using feedback to motivate learners to be the best they can be.</w:t>
      </w:r>
    </w:p>
    <w:p>
      <w:pPr>
        <w:pStyle w:val="NoSpacing"/>
        <w:ind w:left="567"/>
        <w:jc w:val="both"/>
        <w:rPr>
          <w:sz w:val="24"/>
          <w:szCs w:val="24"/>
        </w:rPr>
      </w:pPr>
    </w:p>
    <w:p>
      <w:pPr>
        <w:jc w:val="both"/>
        <w:rPr>
          <w:b/>
          <w:sz w:val="24"/>
          <w:szCs w:val="24"/>
          <w:u w:val="single"/>
        </w:rPr>
      </w:pPr>
      <w:r>
        <w:rPr>
          <w:b/>
          <w:sz w:val="24"/>
          <w:szCs w:val="24"/>
          <w:u w:val="single"/>
        </w:rPr>
        <w:t>Effective feedback in Faculties will:</w:t>
      </w:r>
    </w:p>
    <w:p>
      <w:pPr>
        <w:numPr>
          <w:ilvl w:val="0"/>
          <w:numId w:val="2"/>
        </w:numPr>
        <w:spacing w:after="0" w:line="240" w:lineRule="auto"/>
        <w:ind w:left="540" w:hanging="540"/>
        <w:jc w:val="both"/>
        <w:rPr>
          <w:rFonts w:eastAsia="Times New Roman" w:cs="Tw Cen MT"/>
          <w:color w:val="000000" w:themeColor="text1"/>
          <w:sz w:val="24"/>
          <w:szCs w:val="24"/>
        </w:rPr>
      </w:pPr>
      <w:r>
        <w:rPr>
          <w:rFonts w:eastAsia="Times New Roman" w:cs="Tahoma"/>
          <w:color w:val="000000" w:themeColor="text1"/>
          <w:sz w:val="24"/>
          <w:szCs w:val="24"/>
        </w:rPr>
        <w:t>ensure that pupils receive selective feedback at regular intervals;</w:t>
      </w:r>
    </w:p>
    <w:p>
      <w:pPr>
        <w:numPr>
          <w:ilvl w:val="0"/>
          <w:numId w:val="2"/>
        </w:numPr>
        <w:spacing w:after="0" w:line="240" w:lineRule="auto"/>
        <w:ind w:left="540" w:hanging="540"/>
        <w:jc w:val="both"/>
        <w:rPr>
          <w:rFonts w:eastAsia="Times New Roman" w:cs="Tw Cen MT"/>
          <w:sz w:val="24"/>
          <w:szCs w:val="24"/>
        </w:rPr>
      </w:pPr>
      <w:r>
        <w:rPr>
          <w:rFonts w:eastAsia="Times New Roman" w:cs="Tw Cen MT"/>
          <w:color w:val="000000" w:themeColor="text1"/>
          <w:sz w:val="24"/>
          <w:szCs w:val="24"/>
        </w:rPr>
        <w:t xml:space="preserve">be expressed in language accessible to the pupil whereby targets </w:t>
      </w:r>
      <w:r>
        <w:rPr>
          <w:rFonts w:eastAsia="Times New Roman" w:cs="Tw Cen MT"/>
          <w:sz w:val="24"/>
          <w:szCs w:val="24"/>
        </w:rPr>
        <w:t>are personalised and differentiated;</w:t>
      </w:r>
    </w:p>
    <w:p>
      <w:pPr>
        <w:numPr>
          <w:ilvl w:val="0"/>
          <w:numId w:val="2"/>
        </w:numPr>
        <w:spacing w:after="0" w:line="240" w:lineRule="auto"/>
        <w:ind w:left="540" w:hanging="540"/>
        <w:jc w:val="both"/>
        <w:rPr>
          <w:rFonts w:eastAsia="Times New Roman" w:cs="Tahoma"/>
          <w:sz w:val="24"/>
          <w:szCs w:val="24"/>
        </w:rPr>
      </w:pPr>
      <w:r>
        <w:rPr>
          <w:rFonts w:eastAsia="Times New Roman" w:cs="Tw Cen MT"/>
          <w:sz w:val="24"/>
          <w:szCs w:val="24"/>
        </w:rPr>
        <w:t xml:space="preserve">recognise, encourage and reward a pupil’s effort and progress; </w:t>
      </w:r>
      <w:bookmarkStart w:id="0" w:name="_GoBack"/>
      <w:bookmarkEnd w:id="0"/>
    </w:p>
    <w:p>
      <w:pPr>
        <w:numPr>
          <w:ilvl w:val="0"/>
          <w:numId w:val="2"/>
        </w:numPr>
        <w:spacing w:after="0" w:line="240" w:lineRule="auto"/>
        <w:ind w:left="540" w:hanging="540"/>
        <w:jc w:val="both"/>
        <w:rPr>
          <w:rFonts w:eastAsia="Times New Roman" w:cs="Tahoma"/>
          <w:sz w:val="24"/>
          <w:szCs w:val="24"/>
        </w:rPr>
      </w:pPr>
      <w:r>
        <w:rPr>
          <w:rFonts w:eastAsia="Times New Roman" w:cs="Tw Cen MT"/>
          <w:sz w:val="24"/>
          <w:szCs w:val="24"/>
        </w:rPr>
        <w:t xml:space="preserve">offer questions to promote thinking; </w:t>
      </w:r>
    </w:p>
    <w:p>
      <w:pPr>
        <w:numPr>
          <w:ilvl w:val="0"/>
          <w:numId w:val="2"/>
        </w:numPr>
        <w:spacing w:after="0" w:line="240" w:lineRule="auto"/>
        <w:ind w:left="540" w:hanging="540"/>
        <w:jc w:val="both"/>
        <w:rPr>
          <w:rFonts w:eastAsia="Times New Roman" w:cs="Tahoma"/>
          <w:sz w:val="24"/>
          <w:szCs w:val="24"/>
        </w:rPr>
      </w:pPr>
      <w:r>
        <w:rPr>
          <w:rFonts w:eastAsia="Times New Roman" w:cs="Tw Cen MT"/>
          <w:sz w:val="24"/>
          <w:szCs w:val="24"/>
        </w:rPr>
        <w:t>use a balance of formative and summative feedback;</w:t>
      </w:r>
    </w:p>
    <w:p>
      <w:pPr>
        <w:numPr>
          <w:ilvl w:val="0"/>
          <w:numId w:val="2"/>
        </w:numPr>
        <w:spacing w:after="0" w:line="240" w:lineRule="auto"/>
        <w:ind w:left="540" w:hanging="540"/>
        <w:jc w:val="both"/>
        <w:rPr>
          <w:rFonts w:eastAsia="Times New Roman" w:cs="Tahoma"/>
          <w:sz w:val="24"/>
          <w:szCs w:val="24"/>
        </w:rPr>
      </w:pPr>
      <w:r>
        <w:rPr>
          <w:rFonts w:eastAsia="Times New Roman" w:cs="Tw Cen MT"/>
          <w:sz w:val="24"/>
          <w:szCs w:val="24"/>
        </w:rPr>
        <w:t>be responded to by the pupil, applying the next steps for learning;</w:t>
      </w:r>
    </w:p>
    <w:p>
      <w:pPr>
        <w:numPr>
          <w:ilvl w:val="0"/>
          <w:numId w:val="2"/>
        </w:numPr>
        <w:spacing w:after="0" w:line="240" w:lineRule="auto"/>
        <w:ind w:left="540" w:hanging="540"/>
        <w:jc w:val="both"/>
        <w:rPr>
          <w:rFonts w:eastAsia="Times New Roman" w:cs="Tahoma"/>
          <w:sz w:val="24"/>
          <w:szCs w:val="24"/>
        </w:rPr>
      </w:pPr>
      <w:r>
        <w:rPr>
          <w:rFonts w:eastAsia="Times New Roman" w:cs="Tahoma"/>
          <w:sz w:val="24"/>
          <w:szCs w:val="24"/>
        </w:rPr>
        <w:t>encourage pupils and teachers to reflect on assessment point data;</w:t>
      </w:r>
    </w:p>
    <w:p>
      <w:pPr>
        <w:numPr>
          <w:ilvl w:val="0"/>
          <w:numId w:val="2"/>
        </w:numPr>
        <w:spacing w:after="0" w:line="240" w:lineRule="auto"/>
        <w:ind w:left="540" w:hanging="540"/>
        <w:jc w:val="both"/>
        <w:rPr>
          <w:rFonts w:eastAsia="Times New Roman" w:cs="Tahoma"/>
          <w:sz w:val="24"/>
          <w:szCs w:val="24"/>
        </w:rPr>
      </w:pPr>
      <w:r>
        <w:rPr>
          <w:rFonts w:eastAsia="Times New Roman" w:cs="Tahoma"/>
          <w:sz w:val="24"/>
          <w:szCs w:val="24"/>
        </w:rPr>
        <w:t>regularly allow pupils to use and develop the skills of peer and self-assessment;</w:t>
      </w:r>
    </w:p>
    <w:p>
      <w:pPr>
        <w:numPr>
          <w:ilvl w:val="0"/>
          <w:numId w:val="2"/>
        </w:numPr>
        <w:spacing w:after="0" w:line="240" w:lineRule="auto"/>
        <w:ind w:left="540" w:hanging="540"/>
        <w:jc w:val="both"/>
        <w:rPr>
          <w:rFonts w:eastAsia="Times New Roman" w:cs="Tahoma"/>
          <w:sz w:val="24"/>
          <w:szCs w:val="24"/>
        </w:rPr>
      </w:pPr>
      <w:proofErr w:type="gramStart"/>
      <w:r>
        <w:rPr>
          <w:rFonts w:eastAsia="Times New Roman" w:cs="Tahoma"/>
          <w:sz w:val="24"/>
          <w:szCs w:val="24"/>
        </w:rPr>
        <w:t>be</w:t>
      </w:r>
      <w:proofErr w:type="gramEnd"/>
      <w:r>
        <w:rPr>
          <w:rFonts w:eastAsia="Times New Roman" w:cs="Tahoma"/>
          <w:sz w:val="24"/>
          <w:szCs w:val="24"/>
        </w:rPr>
        <w:t xml:space="preserve"> underpinned by the principle that all pupils can make progress and are expected to be the best that they can be.</w:t>
      </w:r>
    </w:p>
    <w:p>
      <w:pPr>
        <w:rPr>
          <w:sz w:val="24"/>
          <w:szCs w:val="24"/>
        </w:rPr>
      </w:pPr>
    </w:p>
    <w:p>
      <w:pPr>
        <w:spacing w:after="0" w:line="240" w:lineRule="auto"/>
        <w:jc w:val="both"/>
        <w:rPr>
          <w:rFonts w:eastAsia="Times New Roman" w:cs="Tahoma"/>
          <w:sz w:val="24"/>
          <w:szCs w:val="24"/>
        </w:rPr>
      </w:pPr>
      <w:r>
        <w:rPr>
          <w:rFonts w:ascii="Calibri" w:hAnsi="Calibri" w:cs="Tahoma"/>
          <w:b/>
          <w:sz w:val="24"/>
          <w:szCs w:val="24"/>
          <w:u w:val="single"/>
        </w:rPr>
        <w:t>Two stars and a wish marking system:</w:t>
      </w:r>
    </w:p>
    <w:p>
      <w:pPr>
        <w:numPr>
          <w:ilvl w:val="0"/>
          <w:numId w:val="3"/>
        </w:numPr>
        <w:spacing w:after="0" w:line="240" w:lineRule="auto"/>
        <w:jc w:val="both"/>
        <w:rPr>
          <w:rFonts w:ascii="Calibri" w:hAnsi="Calibri" w:cs="Tahoma"/>
          <w:sz w:val="24"/>
          <w:szCs w:val="24"/>
        </w:rPr>
      </w:pPr>
      <w:r>
        <w:rPr>
          <w:rFonts w:ascii="Calibri" w:hAnsi="Calibri" w:cs="Tahoma"/>
          <w:sz w:val="24"/>
          <w:szCs w:val="24"/>
        </w:rPr>
        <w:t>Stars must:</w:t>
      </w:r>
    </w:p>
    <w:p>
      <w:pPr>
        <w:numPr>
          <w:ilvl w:val="1"/>
          <w:numId w:val="3"/>
        </w:numPr>
        <w:spacing w:after="0" w:line="240" w:lineRule="auto"/>
        <w:jc w:val="both"/>
        <w:rPr>
          <w:rFonts w:ascii="Calibri" w:hAnsi="Calibri" w:cs="Tahoma"/>
          <w:sz w:val="24"/>
          <w:szCs w:val="24"/>
        </w:rPr>
      </w:pPr>
      <w:r>
        <w:rPr>
          <w:rFonts w:ascii="Calibri" w:hAnsi="Calibri" w:cs="Tahoma"/>
          <w:sz w:val="24"/>
          <w:szCs w:val="24"/>
        </w:rPr>
        <w:t>praise students for what they have done well in relation to the success criteria of a task;</w:t>
      </w:r>
    </w:p>
    <w:p>
      <w:pPr>
        <w:numPr>
          <w:ilvl w:val="1"/>
          <w:numId w:val="3"/>
        </w:numPr>
        <w:spacing w:after="0" w:line="240" w:lineRule="auto"/>
        <w:jc w:val="both"/>
        <w:rPr>
          <w:rFonts w:ascii="Calibri" w:hAnsi="Calibri" w:cs="Tahoma"/>
          <w:sz w:val="24"/>
          <w:szCs w:val="24"/>
        </w:rPr>
      </w:pPr>
      <w:r>
        <w:rPr>
          <w:rFonts w:ascii="Calibri" w:hAnsi="Calibri" w:cs="Tahoma"/>
          <w:sz w:val="24"/>
          <w:szCs w:val="24"/>
        </w:rPr>
        <w:t>comment on where pupils have made progress;</w:t>
      </w:r>
    </w:p>
    <w:p>
      <w:pPr>
        <w:numPr>
          <w:ilvl w:val="1"/>
          <w:numId w:val="3"/>
        </w:numPr>
        <w:spacing w:after="0" w:line="240" w:lineRule="auto"/>
        <w:jc w:val="both"/>
        <w:rPr>
          <w:rFonts w:ascii="Calibri" w:hAnsi="Calibri" w:cs="Tahoma"/>
          <w:sz w:val="24"/>
          <w:szCs w:val="24"/>
        </w:rPr>
      </w:pPr>
      <w:proofErr w:type="gramStart"/>
      <w:r>
        <w:rPr>
          <w:rFonts w:ascii="Calibri" w:hAnsi="Calibri" w:cs="Tahoma"/>
          <w:sz w:val="24"/>
          <w:szCs w:val="24"/>
        </w:rPr>
        <w:t>be</w:t>
      </w:r>
      <w:proofErr w:type="gramEnd"/>
      <w:r>
        <w:rPr>
          <w:rFonts w:ascii="Calibri" w:hAnsi="Calibri" w:cs="Tahoma"/>
          <w:sz w:val="24"/>
          <w:szCs w:val="24"/>
        </w:rPr>
        <w:t xml:space="preserve"> personalised to the pupil.</w:t>
      </w:r>
    </w:p>
    <w:p>
      <w:pPr>
        <w:numPr>
          <w:ilvl w:val="0"/>
          <w:numId w:val="3"/>
        </w:numPr>
        <w:spacing w:after="0" w:line="240" w:lineRule="auto"/>
        <w:jc w:val="both"/>
        <w:rPr>
          <w:rFonts w:ascii="Calibri" w:hAnsi="Calibri" w:cs="Tahoma"/>
          <w:sz w:val="24"/>
          <w:szCs w:val="24"/>
        </w:rPr>
      </w:pPr>
      <w:r>
        <w:rPr>
          <w:rFonts w:ascii="Calibri" w:hAnsi="Calibri" w:cs="Tahoma"/>
          <w:sz w:val="24"/>
          <w:szCs w:val="24"/>
        </w:rPr>
        <w:t>Wishes must:</w:t>
      </w:r>
    </w:p>
    <w:p>
      <w:pPr>
        <w:numPr>
          <w:ilvl w:val="1"/>
          <w:numId w:val="4"/>
        </w:numPr>
        <w:spacing w:after="0" w:line="240" w:lineRule="auto"/>
        <w:jc w:val="both"/>
        <w:rPr>
          <w:rFonts w:ascii="Calibri" w:hAnsi="Calibri" w:cs="Tahoma"/>
          <w:sz w:val="24"/>
          <w:szCs w:val="24"/>
        </w:rPr>
      </w:pPr>
      <w:r>
        <w:rPr>
          <w:rFonts w:ascii="Calibri" w:hAnsi="Calibri" w:cs="Tahoma"/>
          <w:sz w:val="24"/>
          <w:szCs w:val="24"/>
        </w:rPr>
        <w:t>be tasks or questions designed to help pupils take the next steps in their learning;</w:t>
      </w:r>
    </w:p>
    <w:p>
      <w:pPr>
        <w:numPr>
          <w:ilvl w:val="1"/>
          <w:numId w:val="4"/>
        </w:numPr>
        <w:spacing w:after="0" w:line="240" w:lineRule="auto"/>
        <w:jc w:val="both"/>
        <w:rPr>
          <w:rFonts w:ascii="Calibri" w:hAnsi="Calibri" w:cs="Tahoma"/>
          <w:sz w:val="24"/>
          <w:szCs w:val="24"/>
        </w:rPr>
      </w:pPr>
      <w:r>
        <w:rPr>
          <w:rFonts w:ascii="Calibri" w:hAnsi="Calibri" w:cs="Tahoma"/>
          <w:sz w:val="24"/>
          <w:szCs w:val="24"/>
        </w:rPr>
        <w:t xml:space="preserve">ensure that students understand </w:t>
      </w:r>
      <w:r>
        <w:rPr>
          <w:rFonts w:ascii="Calibri" w:hAnsi="Calibri" w:cs="Tahoma"/>
          <w:sz w:val="24"/>
          <w:szCs w:val="24"/>
          <w:u w:val="single"/>
        </w:rPr>
        <w:t>why</w:t>
      </w:r>
      <w:r>
        <w:rPr>
          <w:rFonts w:ascii="Calibri" w:hAnsi="Calibri" w:cs="Tahoma"/>
          <w:sz w:val="24"/>
          <w:szCs w:val="24"/>
        </w:rPr>
        <w:t xml:space="preserve"> they are doing something;</w:t>
      </w:r>
    </w:p>
    <w:p>
      <w:pPr>
        <w:numPr>
          <w:ilvl w:val="1"/>
          <w:numId w:val="4"/>
        </w:numPr>
        <w:spacing w:after="0" w:line="240" w:lineRule="auto"/>
        <w:jc w:val="both"/>
        <w:rPr>
          <w:rFonts w:ascii="Calibri" w:hAnsi="Calibri" w:cs="Tahoma"/>
          <w:sz w:val="24"/>
          <w:szCs w:val="24"/>
        </w:rPr>
      </w:pPr>
      <w:proofErr w:type="gramStart"/>
      <w:r>
        <w:rPr>
          <w:rFonts w:ascii="Calibri" w:hAnsi="Calibri" w:cs="Tahoma"/>
          <w:sz w:val="24"/>
          <w:szCs w:val="24"/>
        </w:rPr>
        <w:t>be</w:t>
      </w:r>
      <w:proofErr w:type="gramEnd"/>
      <w:r>
        <w:rPr>
          <w:rFonts w:ascii="Calibri" w:hAnsi="Calibri" w:cs="Tahoma"/>
          <w:sz w:val="24"/>
          <w:szCs w:val="24"/>
        </w:rPr>
        <w:t xml:space="preserve"> responded to and directed time should be provided for this (lesson or homework time).</w:t>
      </w:r>
    </w:p>
    <w:p>
      <w:pPr>
        <w:numPr>
          <w:ilvl w:val="0"/>
          <w:numId w:val="4"/>
        </w:numPr>
        <w:spacing w:after="0" w:line="240" w:lineRule="auto"/>
        <w:jc w:val="both"/>
        <w:rPr>
          <w:rFonts w:ascii="Calibri" w:hAnsi="Calibri" w:cs="Tahoma"/>
          <w:sz w:val="24"/>
          <w:szCs w:val="24"/>
        </w:rPr>
      </w:pPr>
      <w:r>
        <w:rPr>
          <w:rFonts w:ascii="Calibri" w:hAnsi="Calibri" w:cs="Tahoma"/>
          <w:sz w:val="24"/>
          <w:szCs w:val="24"/>
        </w:rPr>
        <w:t>Peer and self-assessment must use the two star and wish format where possible.</w:t>
      </w:r>
    </w:p>
    <w:p/>
    <w:p>
      <w:pPr>
        <w:jc w:val="both"/>
        <w:rPr>
          <w:b/>
          <w:sz w:val="24"/>
          <w:szCs w:val="21"/>
          <w:u w:val="single"/>
        </w:rPr>
      </w:pPr>
      <w:r>
        <w:rPr>
          <w:b/>
          <w:sz w:val="24"/>
          <w:szCs w:val="21"/>
          <w:u w:val="single"/>
        </w:rPr>
        <w:t>Literacy across the curriculum:</w:t>
      </w:r>
    </w:p>
    <w:p>
      <w:pPr>
        <w:jc w:val="both"/>
        <w:rPr>
          <w:b/>
          <w:sz w:val="24"/>
          <w:szCs w:val="21"/>
          <w:u w:val="single"/>
        </w:rPr>
      </w:pPr>
      <w:r>
        <w:rPr>
          <w:sz w:val="24"/>
        </w:rPr>
        <w:t>All teachers are teachers of literacy. Feedback and marking should promote the highest standards of writing and literacy across the curriculum. Subjects will use a shared literacy mark code to achieve consistency between curriculum areas.</w:t>
      </w:r>
    </w:p>
    <w:tbl>
      <w:tblPr>
        <w:tblStyle w:val="TableGrid"/>
        <w:tblW w:w="0" w:type="auto"/>
        <w:tblLook w:val="04A0" w:firstRow="1" w:lastRow="0" w:firstColumn="1" w:lastColumn="0" w:noHBand="0" w:noVBand="1"/>
      </w:tblPr>
      <w:tblGrid>
        <w:gridCol w:w="1291"/>
        <w:gridCol w:w="8763"/>
      </w:tblGrid>
      <w:tr>
        <w:tc>
          <w:tcPr>
            <w:tcW w:w="846" w:type="dxa"/>
          </w:tcPr>
          <w:p>
            <w:pPr>
              <w:pStyle w:val="NoSpacing"/>
              <w:jc w:val="center"/>
              <w:rPr>
                <w:sz w:val="24"/>
              </w:rPr>
            </w:pPr>
            <w:r>
              <w:rPr>
                <w:sz w:val="24"/>
              </w:rPr>
              <w:t>P</w:t>
            </w:r>
          </w:p>
        </w:tc>
        <w:tc>
          <w:tcPr>
            <w:tcW w:w="9208" w:type="dxa"/>
          </w:tcPr>
          <w:p>
            <w:pPr>
              <w:pStyle w:val="NoSpacing"/>
              <w:rPr>
                <w:sz w:val="24"/>
              </w:rPr>
            </w:pPr>
            <w:r>
              <w:rPr>
                <w:sz w:val="24"/>
              </w:rPr>
              <w:t>Missing or incorrect punctuation mark(s) or missing capital letter</w:t>
            </w:r>
          </w:p>
        </w:tc>
      </w:tr>
      <w:tr>
        <w:tc>
          <w:tcPr>
            <w:tcW w:w="846" w:type="dxa"/>
          </w:tcPr>
          <w:p>
            <w:pPr>
              <w:pStyle w:val="NoSpacing"/>
              <w:jc w:val="center"/>
              <w:rPr>
                <w:sz w:val="24"/>
              </w:rPr>
            </w:pPr>
            <w:r>
              <w:rPr>
                <w:noProof/>
                <w:lang w:eastAsia="en-GB"/>
              </w:rPr>
              <w:drawing>
                <wp:inline distT="0" distB="0" distL="0" distR="0">
                  <wp:extent cx="682752" cy="200025"/>
                  <wp:effectExtent l="0" t="0" r="0" b="0"/>
                  <wp:docPr id="3" name="Picture 3" descr="Image result for squig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quiggle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515" cy="201127"/>
                          </a:xfrm>
                          <a:prstGeom prst="rect">
                            <a:avLst/>
                          </a:prstGeom>
                          <a:noFill/>
                          <a:ln>
                            <a:noFill/>
                          </a:ln>
                        </pic:spPr>
                      </pic:pic>
                    </a:graphicData>
                  </a:graphic>
                </wp:inline>
              </w:drawing>
            </w:r>
          </w:p>
        </w:tc>
        <w:tc>
          <w:tcPr>
            <w:tcW w:w="9208" w:type="dxa"/>
          </w:tcPr>
          <w:p>
            <w:pPr>
              <w:pStyle w:val="NoSpacing"/>
              <w:rPr>
                <w:sz w:val="24"/>
              </w:rPr>
            </w:pPr>
            <w:r>
              <w:rPr>
                <w:sz w:val="24"/>
              </w:rPr>
              <w:t>Single ‘squiggle’ under a phrase or word that makes no sense.</w:t>
            </w:r>
          </w:p>
        </w:tc>
      </w:tr>
      <w:tr>
        <w:tc>
          <w:tcPr>
            <w:tcW w:w="846" w:type="dxa"/>
          </w:tcPr>
          <w:p>
            <w:pPr>
              <w:pStyle w:val="NoSpacing"/>
              <w:jc w:val="center"/>
              <w:rPr>
                <w:sz w:val="24"/>
              </w:rPr>
            </w:pPr>
            <w:r>
              <w:rPr>
                <w:sz w:val="24"/>
              </w:rPr>
              <w:t>/\</w:t>
            </w:r>
          </w:p>
        </w:tc>
        <w:tc>
          <w:tcPr>
            <w:tcW w:w="9208" w:type="dxa"/>
          </w:tcPr>
          <w:p>
            <w:pPr>
              <w:pStyle w:val="NoSpacing"/>
              <w:rPr>
                <w:sz w:val="24"/>
              </w:rPr>
            </w:pPr>
            <w:r>
              <w:rPr>
                <w:sz w:val="24"/>
              </w:rPr>
              <w:t>Indicates a missing word</w:t>
            </w:r>
          </w:p>
        </w:tc>
      </w:tr>
      <w:tr>
        <w:trPr>
          <w:trHeight w:val="70"/>
        </w:trPr>
        <w:tc>
          <w:tcPr>
            <w:tcW w:w="846" w:type="dxa"/>
          </w:tcPr>
          <w:p>
            <w:pPr>
              <w:pStyle w:val="NoSpacing"/>
              <w:jc w:val="center"/>
              <w:rPr>
                <w:sz w:val="24"/>
              </w:rPr>
            </w:pPr>
            <w:r>
              <w:rPr>
                <w:sz w:val="24"/>
              </w:rPr>
              <w:t>CS</w:t>
            </w:r>
          </w:p>
        </w:tc>
        <w:tc>
          <w:tcPr>
            <w:tcW w:w="9208" w:type="dxa"/>
          </w:tcPr>
          <w:p>
            <w:pPr>
              <w:pStyle w:val="NoSpacing"/>
              <w:rPr>
                <w:sz w:val="24"/>
              </w:rPr>
            </w:pPr>
            <w:r>
              <w:rPr>
                <w:sz w:val="24"/>
              </w:rPr>
              <w:t>Comma splicing error (where a comma have been used in place of a full stop)</w:t>
            </w:r>
          </w:p>
        </w:tc>
      </w:tr>
      <w:tr>
        <w:trPr>
          <w:trHeight w:val="70"/>
        </w:trPr>
        <w:tc>
          <w:tcPr>
            <w:tcW w:w="846" w:type="dxa"/>
          </w:tcPr>
          <w:p>
            <w:pPr>
              <w:pStyle w:val="NoSpacing"/>
              <w:jc w:val="center"/>
              <w:rPr>
                <w:sz w:val="24"/>
              </w:rPr>
            </w:pPr>
            <w:r>
              <w:rPr>
                <w:sz w:val="24"/>
              </w:rPr>
              <w:t>T</w:t>
            </w:r>
          </w:p>
        </w:tc>
        <w:tc>
          <w:tcPr>
            <w:tcW w:w="9208" w:type="dxa"/>
          </w:tcPr>
          <w:p>
            <w:pPr>
              <w:pStyle w:val="NoSpacing"/>
              <w:rPr>
                <w:sz w:val="24"/>
              </w:rPr>
            </w:pPr>
            <w:r>
              <w:rPr>
                <w:sz w:val="24"/>
              </w:rPr>
              <w:t>Incorrect tense</w:t>
            </w:r>
          </w:p>
        </w:tc>
      </w:tr>
      <w:tr>
        <w:trPr>
          <w:trHeight w:val="70"/>
        </w:trPr>
        <w:tc>
          <w:tcPr>
            <w:tcW w:w="846" w:type="dxa"/>
          </w:tcPr>
          <w:p>
            <w:pPr>
              <w:pStyle w:val="NoSpacing"/>
              <w:jc w:val="center"/>
              <w:rPr>
                <w:sz w:val="24"/>
              </w:rPr>
            </w:pPr>
            <w:r>
              <w:rPr>
                <w:sz w:val="24"/>
              </w:rPr>
              <w:t>//</w:t>
            </w:r>
          </w:p>
        </w:tc>
        <w:tc>
          <w:tcPr>
            <w:tcW w:w="9208" w:type="dxa"/>
          </w:tcPr>
          <w:p>
            <w:pPr>
              <w:pStyle w:val="NoSpacing"/>
              <w:rPr>
                <w:sz w:val="24"/>
              </w:rPr>
            </w:pPr>
            <w:r>
              <w:rPr>
                <w:sz w:val="24"/>
              </w:rPr>
              <w:t>New paragraph needed here</w:t>
            </w:r>
          </w:p>
        </w:tc>
      </w:tr>
      <w:tr>
        <w:trPr>
          <w:trHeight w:val="70"/>
        </w:trPr>
        <w:tc>
          <w:tcPr>
            <w:tcW w:w="846" w:type="dxa"/>
          </w:tcPr>
          <w:p>
            <w:pPr>
              <w:pStyle w:val="NoSpacing"/>
              <w:jc w:val="center"/>
              <w:rPr>
                <w:sz w:val="24"/>
              </w:rPr>
            </w:pPr>
            <w:r>
              <w:rPr>
                <w:sz w:val="24"/>
              </w:rPr>
              <w:t>WW</w:t>
            </w:r>
          </w:p>
        </w:tc>
        <w:tc>
          <w:tcPr>
            <w:tcW w:w="9208" w:type="dxa"/>
          </w:tcPr>
          <w:p>
            <w:pPr>
              <w:pStyle w:val="NoSpacing"/>
              <w:rPr>
                <w:sz w:val="24"/>
              </w:rPr>
            </w:pPr>
            <w:r>
              <w:rPr>
                <w:sz w:val="24"/>
              </w:rPr>
              <w:t>Wrong word used</w:t>
            </w:r>
          </w:p>
        </w:tc>
      </w:tr>
      <w:tr>
        <w:trPr>
          <w:trHeight w:val="70"/>
        </w:trPr>
        <w:tc>
          <w:tcPr>
            <w:tcW w:w="846" w:type="dxa"/>
          </w:tcPr>
          <w:p>
            <w:pPr>
              <w:pStyle w:val="NoSpacing"/>
              <w:jc w:val="center"/>
              <w:rPr>
                <w:sz w:val="24"/>
              </w:rPr>
            </w:pPr>
            <w:proofErr w:type="spellStart"/>
            <w:r>
              <w:rPr>
                <w:sz w:val="24"/>
              </w:rPr>
              <w:t>Sp</w:t>
            </w:r>
            <w:proofErr w:type="spellEnd"/>
          </w:p>
        </w:tc>
        <w:tc>
          <w:tcPr>
            <w:tcW w:w="9208" w:type="dxa"/>
          </w:tcPr>
          <w:p>
            <w:pPr>
              <w:pStyle w:val="NoSpacing"/>
              <w:rPr>
                <w:sz w:val="24"/>
              </w:rPr>
            </w:pPr>
            <w:r>
              <w:rPr>
                <w:sz w:val="24"/>
              </w:rPr>
              <w:t>Spelling mistake</w:t>
            </w:r>
          </w:p>
        </w:tc>
      </w:tr>
    </w:tbl>
    <w:p>
      <w:pPr>
        <w:jc w:val="both"/>
        <w:rPr>
          <w:rFonts w:cstheme="minorHAnsi"/>
          <w:sz w:val="24"/>
          <w:szCs w:val="21"/>
        </w:rPr>
      </w:pPr>
    </w:p>
    <w:tbl>
      <w:tblPr>
        <w:tblStyle w:val="TableGrid"/>
        <w:tblW w:w="0" w:type="auto"/>
        <w:tblLook w:val="04A0" w:firstRow="1" w:lastRow="0" w:firstColumn="1" w:lastColumn="0" w:noHBand="0" w:noVBand="1"/>
      </w:tblPr>
      <w:tblGrid>
        <w:gridCol w:w="10054"/>
      </w:tblGrid>
      <w:tr>
        <w:tc>
          <w:tcPr>
            <w:tcW w:w="10054" w:type="dxa"/>
          </w:tcPr>
          <w:p>
            <w:pPr>
              <w:jc w:val="center"/>
              <w:rPr>
                <w:b/>
              </w:rPr>
            </w:pPr>
            <w:r>
              <w:rPr>
                <w:b/>
                <w:sz w:val="28"/>
              </w:rPr>
              <w:lastRenderedPageBreak/>
              <w:t>Outline the frequency of feedback, methods of feedback and where feedback can be found for each Key Stage</w:t>
            </w:r>
          </w:p>
        </w:tc>
      </w:tr>
      <w:tr>
        <w:tc>
          <w:tcPr>
            <w:tcW w:w="10054" w:type="dxa"/>
          </w:tcPr>
          <w:p>
            <w:pPr>
              <w:jc w:val="center"/>
              <w:rPr>
                <w:b/>
                <w:sz w:val="28"/>
                <w:u w:val="single"/>
              </w:rPr>
            </w:pPr>
            <w:r>
              <w:rPr>
                <w:b/>
                <w:sz w:val="28"/>
                <w:u w:val="single"/>
              </w:rPr>
              <w:t>KS3</w:t>
            </w:r>
          </w:p>
          <w:p>
            <w:pPr>
              <w:spacing w:after="0" w:line="240" w:lineRule="auto"/>
            </w:pPr>
            <w:r>
              <w:t>In geography pupils will receive feedback on 4 pieces of marked work per year. This will be after a piece of high quality extended writing at the end of a unit of work. Pupils would get feedback with 2 stars and a wish for this assessment. All other classwork will only be briefly checked.</w:t>
            </w:r>
          </w:p>
          <w:p>
            <w:pPr>
              <w:spacing w:after="0" w:line="240" w:lineRule="auto"/>
            </w:pPr>
          </w:p>
          <w:p>
            <w:pPr>
              <w:spacing w:after="0" w:line="240" w:lineRule="auto"/>
            </w:pPr>
            <w:r>
              <w:t>In years 7 and 8 pupils will receive an indication of progress within their threshold with -/0/+. In year 9 pupils will receive a GCSE number grade.</w:t>
            </w:r>
          </w:p>
          <w:p>
            <w:pPr>
              <w:spacing w:after="0" w:line="240" w:lineRule="auto"/>
            </w:pPr>
          </w:p>
          <w:p>
            <w:pPr>
              <w:spacing w:after="0" w:line="240" w:lineRule="auto"/>
            </w:pPr>
            <w:r>
              <w:rPr>
                <w:rFonts w:ascii="Calibri" w:eastAsia="Times New Roman" w:hAnsi="Calibri" w:cs="Tahoma"/>
              </w:rPr>
              <w:t xml:space="preserve">Pupils are expected to respond clearly </w:t>
            </w:r>
            <w:proofErr w:type="gramStart"/>
            <w:r>
              <w:rPr>
                <w:rFonts w:ascii="Calibri" w:eastAsia="Times New Roman" w:hAnsi="Calibri" w:cs="Tahoma"/>
              </w:rPr>
              <w:t>to</w:t>
            </w:r>
            <w:proofErr w:type="gramEnd"/>
            <w:r>
              <w:rPr>
                <w:rFonts w:ascii="Calibri" w:eastAsia="Times New Roman" w:hAnsi="Calibri" w:cs="Tahoma"/>
              </w:rPr>
              <w:t xml:space="preserve"> all wish tasks during dedicated lesson time using a different colour pen.</w:t>
            </w:r>
            <w:r>
              <w:t xml:space="preserve"> </w:t>
            </w:r>
            <w:r>
              <w:rPr>
                <w:rFonts w:ascii="Calibri" w:eastAsia="Times New Roman" w:hAnsi="Calibri" w:cs="Tahoma"/>
              </w:rPr>
              <w:t>Peer or self-assessment should take place between teacher marked assessments.</w:t>
            </w:r>
          </w:p>
          <w:p>
            <w:pPr>
              <w:spacing w:after="0" w:line="240" w:lineRule="auto"/>
              <w:jc w:val="both"/>
              <w:rPr>
                <w:rFonts w:ascii="Calibri" w:eastAsia="Times New Roman" w:hAnsi="Calibri" w:cs="Tahoma"/>
              </w:rPr>
            </w:pPr>
            <w:r>
              <w:rPr>
                <w:rFonts w:ascii="Calibri" w:eastAsia="Times New Roman" w:hAnsi="Calibri" w:cs="Tahoma"/>
              </w:rPr>
              <w:t>Common literacy errors – especially technical geography terms – will be identified following each mark using the literacy marking code. Pupils are expected to correct identified literacy errors.</w:t>
            </w:r>
          </w:p>
          <w:p>
            <w:pPr>
              <w:spacing w:after="0" w:line="240" w:lineRule="auto"/>
              <w:jc w:val="both"/>
              <w:rPr>
                <w:rFonts w:ascii="Calibri" w:eastAsia="Times New Roman" w:hAnsi="Calibri" w:cs="Tahoma"/>
              </w:rPr>
            </w:pPr>
          </w:p>
          <w:p>
            <w:pPr>
              <w:pStyle w:val="NoSpacing"/>
              <w:rPr>
                <w:b/>
              </w:rPr>
            </w:pPr>
            <w:r>
              <w:t>Homework booklets are in place for all KS3 classes. Most homework tasks will be marked using self or peer marking. The completed homework booklet would be usually checked by the teacher with verbal feedback and merits/house awards to reward effort or achievement.</w:t>
            </w:r>
          </w:p>
          <w:p>
            <w:pPr>
              <w:pStyle w:val="NoSpacing"/>
              <w:rPr>
                <w:rFonts w:ascii="Calibri" w:eastAsia="Times New Roman" w:hAnsi="Calibri" w:cs="Tahoma"/>
                <w:sz w:val="21"/>
                <w:szCs w:val="21"/>
              </w:rPr>
            </w:pPr>
          </w:p>
        </w:tc>
      </w:tr>
      <w:tr>
        <w:tc>
          <w:tcPr>
            <w:tcW w:w="10054" w:type="dxa"/>
          </w:tcPr>
          <w:p>
            <w:pPr>
              <w:pStyle w:val="NoSpacing"/>
              <w:jc w:val="center"/>
              <w:rPr>
                <w:b/>
                <w:sz w:val="28"/>
                <w:u w:val="single"/>
              </w:rPr>
            </w:pPr>
            <w:r>
              <w:rPr>
                <w:b/>
                <w:sz w:val="28"/>
                <w:u w:val="single"/>
              </w:rPr>
              <w:t>KS4</w:t>
            </w:r>
          </w:p>
          <w:p>
            <w:pPr>
              <w:pStyle w:val="NoSpacing"/>
              <w:ind w:left="306"/>
              <w:rPr>
                <w:rFonts w:ascii="Calibri" w:eastAsia="Times New Roman" w:hAnsi="Calibri" w:cs="Tahoma"/>
                <w:b/>
              </w:rPr>
            </w:pPr>
          </w:p>
          <w:p>
            <w:pPr>
              <w:pStyle w:val="NoSpacing"/>
            </w:pPr>
            <w:r>
              <w:t>At GCSE level pupils will not have their classwork books marked. Instead practice exam questions could be marked by peer or self-assessment. The exercise books will be checked after each unit to ensure that pupils have completed and understood the topic and have notes that are suitable to revise from.</w:t>
            </w:r>
          </w:p>
          <w:p>
            <w:pPr>
              <w:pStyle w:val="NoSpacing"/>
            </w:pPr>
          </w:p>
          <w:p>
            <w:pPr>
              <w:spacing w:after="0" w:line="240" w:lineRule="auto"/>
              <w:rPr>
                <w:rFonts w:ascii="Calibri" w:eastAsia="Times New Roman" w:hAnsi="Calibri" w:cs="Tahoma"/>
              </w:rPr>
            </w:pPr>
            <w:r>
              <w:t xml:space="preserve">After every unit there is an assessment with GCSE paper in exam conditions. This exam will receive a GCSE number grade as well as two stars and a wish feedback. </w:t>
            </w:r>
            <w:r>
              <w:rPr>
                <w:rFonts w:ascii="Calibri" w:eastAsia="Times New Roman" w:hAnsi="Calibri" w:cs="Tahoma"/>
              </w:rPr>
              <w:t xml:space="preserve">Pupils are expected to respond clearly </w:t>
            </w:r>
            <w:proofErr w:type="gramStart"/>
            <w:r>
              <w:rPr>
                <w:rFonts w:ascii="Calibri" w:eastAsia="Times New Roman" w:hAnsi="Calibri" w:cs="Tahoma"/>
              </w:rPr>
              <w:t>to</w:t>
            </w:r>
            <w:proofErr w:type="gramEnd"/>
            <w:r>
              <w:rPr>
                <w:rFonts w:ascii="Calibri" w:eastAsia="Times New Roman" w:hAnsi="Calibri" w:cs="Tahoma"/>
              </w:rPr>
              <w:t xml:space="preserve"> all wish tasks during dedicated lesson time using a different colour pen. </w:t>
            </w:r>
          </w:p>
          <w:p>
            <w:pPr>
              <w:spacing w:after="0" w:line="240" w:lineRule="auto"/>
            </w:pPr>
          </w:p>
          <w:p>
            <w:pPr>
              <w:spacing w:after="0" w:line="240" w:lineRule="auto"/>
              <w:jc w:val="both"/>
              <w:rPr>
                <w:rFonts w:ascii="Calibri" w:eastAsia="Times New Roman" w:hAnsi="Calibri" w:cs="Tahoma"/>
              </w:rPr>
            </w:pPr>
            <w:r>
              <w:rPr>
                <w:rFonts w:ascii="Calibri" w:eastAsia="Times New Roman" w:hAnsi="Calibri" w:cs="Tahoma"/>
              </w:rPr>
              <w:t>Common literacy errors – especially technical geography terms – will be identified following each mark using the literacy marking code. Pupils are expected to correct identified literacy errors.</w:t>
            </w:r>
          </w:p>
          <w:p>
            <w:pPr>
              <w:spacing w:after="0" w:line="240" w:lineRule="auto"/>
            </w:pPr>
          </w:p>
          <w:p>
            <w:pPr>
              <w:spacing w:after="0" w:line="240" w:lineRule="auto"/>
              <w:rPr>
                <w:rFonts w:ascii="Calibri" w:eastAsia="Times New Roman" w:hAnsi="Calibri" w:cs="Tahoma"/>
              </w:rPr>
            </w:pPr>
            <w:r>
              <w:t>Pupils will complete an evaluation sheet to record their progress relative to their target as well as what went well (www) and even better if (</w:t>
            </w:r>
            <w:proofErr w:type="spellStart"/>
            <w:r>
              <w:t>ebi</w:t>
            </w:r>
            <w:proofErr w:type="spellEnd"/>
            <w:r>
              <w:t>). The paper, evaluation sheet and wish task go in a Progress File. It is taken home to parents to sign and review after each test.</w:t>
            </w:r>
            <w:r>
              <w:rPr>
                <w:rFonts w:ascii="Calibri" w:eastAsia="Times New Roman" w:hAnsi="Calibri" w:cs="Tahoma"/>
              </w:rPr>
              <w:t xml:space="preserve"> </w:t>
            </w:r>
          </w:p>
          <w:p>
            <w:pPr>
              <w:spacing w:after="0" w:line="240" w:lineRule="auto"/>
              <w:rPr>
                <w:rFonts w:ascii="Calibri" w:eastAsia="Times New Roman" w:hAnsi="Calibri" w:cs="Tahoma"/>
              </w:rPr>
            </w:pPr>
          </w:p>
          <w:p>
            <w:pPr>
              <w:pStyle w:val="NoSpacing"/>
              <w:rPr>
                <w:rFonts w:ascii="Calibri" w:eastAsia="Times New Roman" w:hAnsi="Calibri" w:cs="Tahoma"/>
              </w:rPr>
            </w:pPr>
            <w:r>
              <w:rPr>
                <w:rFonts w:ascii="Calibri" w:eastAsia="Times New Roman" w:hAnsi="Calibri" w:cs="Tahoma"/>
              </w:rPr>
              <w:t>Homework at KS4 often involves the preparation of revision materials and key word glossaries. These will be checked by the teacher for completion with verbal feedback and merits to reward effort or achievement.</w:t>
            </w:r>
          </w:p>
          <w:p>
            <w:pPr>
              <w:pStyle w:val="NoSpacing"/>
              <w:ind w:left="306"/>
              <w:rPr>
                <w:b/>
              </w:rPr>
            </w:pPr>
          </w:p>
          <w:p>
            <w:pPr>
              <w:pStyle w:val="NoSpacing"/>
              <w:ind w:left="306"/>
              <w:rPr>
                <w:b/>
              </w:rPr>
            </w:pPr>
          </w:p>
          <w:p>
            <w:pPr>
              <w:pStyle w:val="NoSpacing"/>
              <w:ind w:left="306"/>
              <w:rPr>
                <w:b/>
              </w:rPr>
            </w:pPr>
          </w:p>
          <w:p>
            <w:pPr>
              <w:pStyle w:val="NoSpacing"/>
              <w:ind w:left="306"/>
              <w:rPr>
                <w:rFonts w:ascii="Calibri" w:eastAsia="Times New Roman" w:hAnsi="Calibri" w:cs="Tahoma"/>
                <w:b/>
              </w:rPr>
            </w:pPr>
          </w:p>
          <w:p>
            <w:pPr>
              <w:pStyle w:val="NoSpacing"/>
              <w:rPr>
                <w:i/>
              </w:rPr>
            </w:pPr>
            <w:r>
              <w:rPr>
                <w:i/>
              </w:rPr>
              <w:t xml:space="preserve"> </w:t>
            </w:r>
          </w:p>
        </w:tc>
      </w:tr>
    </w:tbl>
    <w:p/>
    <w:sectPr>
      <w:headerReference w:type="default" r:id="rId8"/>
      <w:pgSz w:w="11906" w:h="16838"/>
      <w:pgMar w:top="0"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b/>
        <w:sz w:val="28"/>
        <w:szCs w:val="28"/>
        <w:u w:val="single"/>
      </w:rPr>
    </w:pPr>
    <w:r>
      <w:rPr>
        <w:b/>
        <w:sz w:val="28"/>
        <w:szCs w:val="28"/>
        <w:u w:val="single"/>
      </w:rPr>
      <w:t>Geography Feedback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A75"/>
    <w:multiLevelType w:val="hybridMultilevel"/>
    <w:tmpl w:val="D8F2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85F5F"/>
    <w:multiLevelType w:val="hybridMultilevel"/>
    <w:tmpl w:val="E390B3F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A7D05"/>
    <w:multiLevelType w:val="hybridMultilevel"/>
    <w:tmpl w:val="FD0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96302"/>
    <w:multiLevelType w:val="hybridMultilevel"/>
    <w:tmpl w:val="4468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F09CE"/>
    <w:multiLevelType w:val="hybridMultilevel"/>
    <w:tmpl w:val="F696811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F165E2"/>
    <w:multiLevelType w:val="hybridMultilevel"/>
    <w:tmpl w:val="A156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601FE"/>
    <w:multiLevelType w:val="hybridMultilevel"/>
    <w:tmpl w:val="3A3A2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CBDE-3707-4EF3-B33F-7D9A8AD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1070">
      <w:bodyDiv w:val="1"/>
      <w:marLeft w:val="0"/>
      <w:marRight w:val="0"/>
      <w:marTop w:val="0"/>
      <w:marBottom w:val="0"/>
      <w:divBdr>
        <w:top w:val="none" w:sz="0" w:space="0" w:color="auto"/>
        <w:left w:val="none" w:sz="0" w:space="0" w:color="auto"/>
        <w:bottom w:val="none" w:sz="0" w:space="0" w:color="auto"/>
        <w:right w:val="none" w:sz="0" w:space="0" w:color="auto"/>
      </w:divBdr>
    </w:div>
    <w:div w:id="7496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Tenbury High Ormiston Academy</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David Bidgood</cp:lastModifiedBy>
  <cp:revision>2</cp:revision>
  <cp:lastPrinted>2018-10-16T11:38:00Z</cp:lastPrinted>
  <dcterms:created xsi:type="dcterms:W3CDTF">2018-10-16T11:38:00Z</dcterms:created>
  <dcterms:modified xsi:type="dcterms:W3CDTF">2018-10-16T11:38:00Z</dcterms:modified>
</cp:coreProperties>
</file>